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jc w:val="center"/>
        <w:rPr>
          <w:rFonts w:ascii="Times New Roman" w:hAnsi="Times New Roman" w:cs="Times New Roman"/>
          <w:b/>
          <w:spacing w:val="40"/>
          <w:sz w:val="32"/>
          <w:szCs w:val="32"/>
        </w:rPr>
      </w:pPr>
      <w:r>
        <w:rPr>
          <w:rFonts w:ascii="Times New Roman" w:hAnsi="Times New Roman" w:cs="Times New Roman"/>
          <w:b/>
          <w:spacing w:val="40"/>
          <w:sz w:val="32"/>
          <w:szCs w:val="32"/>
        </w:rPr>
        <w:t>ΕΝΩΤΙΚΗ ΑΓΩΝΙΣΤΙΚΗ ΚΙΝΗΣΗ ΠΥΡΟΣΒΕΣΤΩΝ</w:t>
      </w:r>
    </w:p>
    <w:p>
      <w:pPr>
        <w:spacing w:after="120"/>
        <w:ind w:right="-1"/>
        <w:jc w:val="center"/>
        <w:rPr>
          <w:rFonts w:ascii="Times New Roman" w:hAnsi="Times New Roman" w:cs="Times New Roman"/>
          <w:b/>
          <w:sz w:val="24"/>
          <w:szCs w:val="24"/>
        </w:rPr>
      </w:pPr>
      <w:r>
        <w:rPr>
          <w:rFonts w:ascii="Times New Roman" w:hAnsi="Times New Roman" w:cs="Times New Roman"/>
          <w:b/>
          <w:sz w:val="24"/>
          <w:szCs w:val="24"/>
          <w:u w:val="single"/>
        </w:rPr>
        <w:t>.    Της  Πανελλήνιας  Ομοσπονδίας  Ενώσεων  Υπαλλήλων  Πυροσβεστικού  Σώματος     .</w:t>
      </w:r>
    </w:p>
    <w:p>
      <w:pPr>
        <w:spacing w:after="240" w:line="240" w:lineRule="auto"/>
        <w:jc w:val="center"/>
        <w:rPr>
          <w:rFonts w:ascii="Times New Roman" w:hAnsi="Times New Roman" w:cs="Times New Roman"/>
          <w:b/>
          <w:sz w:val="21"/>
          <w:szCs w:val="21"/>
          <w:lang w:val="en-US"/>
        </w:rPr>
      </w:pPr>
      <w:bookmarkStart w:id="0" w:name="_GoBack"/>
      <w:r>
        <w:rPr>
          <w:rFonts w:ascii="Times New Roman" w:hAnsi="Times New Roman" w:cs="Times New Roman"/>
          <w:sz w:val="21"/>
          <w:szCs w:val="21"/>
        </w:rPr>
        <w:t>Τηλ</w:t>
      </w:r>
      <w:r>
        <w:rPr>
          <w:rFonts w:ascii="Times New Roman" w:hAnsi="Times New Roman" w:cs="Times New Roman"/>
          <w:sz w:val="21"/>
          <w:szCs w:val="21"/>
          <w:lang w:val="en-US"/>
        </w:rPr>
        <w:t xml:space="preserve">.: </w:t>
      </w:r>
      <w:r>
        <w:rPr>
          <w:rFonts w:ascii="Times New Roman" w:hAnsi="Times New Roman" w:cs="Times New Roman"/>
          <w:b/>
          <w:sz w:val="21"/>
          <w:szCs w:val="21"/>
          <w:lang w:val="en-US"/>
        </w:rPr>
        <w:t>6974881331 – 6974055854 – 6972620039</w:t>
      </w:r>
      <w:proofErr w:type="gramStart"/>
      <w:r>
        <w:rPr>
          <w:rFonts w:ascii="Times New Roman" w:hAnsi="Times New Roman" w:cs="Times New Roman"/>
          <w:b/>
          <w:sz w:val="21"/>
          <w:szCs w:val="21"/>
          <w:lang w:val="en-US"/>
        </w:rPr>
        <w:t xml:space="preserve">,  </w:t>
      </w:r>
      <w:r>
        <w:rPr>
          <w:rFonts w:ascii="Times New Roman" w:hAnsi="Times New Roman" w:cs="Times New Roman"/>
          <w:sz w:val="21"/>
          <w:szCs w:val="21"/>
          <w:lang w:val="en-US"/>
        </w:rPr>
        <w:t>web</w:t>
      </w:r>
      <w:proofErr w:type="gramEnd"/>
      <w:r>
        <w:rPr>
          <w:rFonts w:ascii="Times New Roman" w:hAnsi="Times New Roman" w:cs="Times New Roman"/>
          <w:sz w:val="21"/>
          <w:szCs w:val="21"/>
          <w:lang w:val="en-US"/>
        </w:rPr>
        <w:t xml:space="preserve"> site: </w:t>
      </w:r>
      <w:hyperlink r:id="rId8" w:history="1">
        <w:r>
          <w:rPr>
            <w:rStyle w:val="-"/>
            <w:rFonts w:ascii="Times New Roman" w:hAnsi="Times New Roman" w:cs="Times New Roman"/>
            <w:b/>
            <w:color w:val="auto"/>
            <w:sz w:val="21"/>
            <w:szCs w:val="21"/>
            <w:u w:val="none"/>
            <w:lang w:val="en-US"/>
          </w:rPr>
          <w:t>www.eakp.gr</w:t>
        </w:r>
      </w:hyperlink>
      <w:r>
        <w:rPr>
          <w:rFonts w:ascii="Times New Roman" w:hAnsi="Times New Roman" w:cs="Times New Roman"/>
          <w:b/>
          <w:sz w:val="21"/>
          <w:szCs w:val="21"/>
          <w:lang w:val="en-US"/>
        </w:rPr>
        <w:t xml:space="preserve">,  </w:t>
      </w:r>
      <w:r>
        <w:rPr>
          <w:rFonts w:ascii="Times New Roman" w:hAnsi="Times New Roman" w:cs="Times New Roman"/>
          <w:sz w:val="21"/>
          <w:szCs w:val="21"/>
          <w:lang w:val="en-US"/>
        </w:rPr>
        <w:t xml:space="preserve">email: </w:t>
      </w:r>
      <w:hyperlink r:id="rId9" w:history="1">
        <w:r>
          <w:rPr>
            <w:rStyle w:val="-"/>
            <w:rFonts w:ascii="Times New Roman" w:hAnsi="Times New Roman" w:cs="Times New Roman"/>
            <w:b/>
            <w:color w:val="auto"/>
            <w:sz w:val="21"/>
            <w:szCs w:val="21"/>
            <w:u w:val="none"/>
            <w:lang w:val="en-US"/>
          </w:rPr>
          <w:t>info@eakp.gr</w:t>
        </w:r>
      </w:hyperlink>
    </w:p>
    <w:bookmarkEnd w:id="0"/>
    <w:p>
      <w:pPr>
        <w:autoSpaceDE w:val="0"/>
        <w:autoSpaceDN w:val="0"/>
        <w:adjustRightInd w:val="0"/>
        <w:spacing w:after="480" w:line="240" w:lineRule="auto"/>
        <w:jc w:val="both"/>
        <w:rPr>
          <w:rFonts w:ascii="Times New Roman" w:hAnsi="Times New Roman" w:cs="Times New Roman"/>
          <w:b/>
          <w:bCs/>
          <w:sz w:val="24"/>
          <w:szCs w:val="24"/>
        </w:rPr>
      </w:pPr>
      <w:r>
        <w:rPr>
          <w:rFonts w:ascii="Times New Roman" w:hAnsi="Times New Roman" w:cs="Times New Roman"/>
          <w:sz w:val="24"/>
          <w:szCs w:val="24"/>
          <w:lang w:val="en-US"/>
        </w:rPr>
        <w:t xml:space="preserve">                                                                                                                 </w:t>
      </w:r>
      <w:r>
        <w:rPr>
          <w:rFonts w:ascii="Times New Roman" w:hAnsi="Times New Roman" w:cs="Times New Roman"/>
          <w:b/>
          <w:bCs/>
          <w:sz w:val="24"/>
          <w:szCs w:val="24"/>
        </w:rPr>
        <w:t>Αθήνα 21 Ιανουαρίου 2025</w:t>
      </w:r>
    </w:p>
    <w:p>
      <w:pPr>
        <w:spacing w:after="300" w:line="240" w:lineRule="auto"/>
        <w:jc w:val="center"/>
        <w:rPr>
          <w:rFonts w:ascii="Times New Roman" w:hAnsi="Times New Roman" w:cs="Times New Roman"/>
          <w:b/>
          <w:bCs/>
          <w:sz w:val="30"/>
          <w:szCs w:val="30"/>
          <w:u w:val="double"/>
        </w:rPr>
      </w:pPr>
      <w:r>
        <w:rPr>
          <w:rFonts w:ascii="Times New Roman" w:hAnsi="Times New Roman" w:cs="Times New Roman"/>
          <w:b/>
          <w:bCs/>
          <w:sz w:val="30"/>
          <w:szCs w:val="30"/>
          <w:u w:val="double"/>
        </w:rPr>
        <w:t xml:space="preserve">ΑΝΑΚΟΙΝΩΣΗ - ΔΕΛΤΙΟ ΤΥΠΟΥ </w:t>
      </w:r>
    </w:p>
    <w:p>
      <w:pPr>
        <w:pBdr>
          <w:top w:val="single" w:sz="4" w:space="1" w:color="auto"/>
          <w:left w:val="single" w:sz="4" w:space="4" w:color="auto"/>
          <w:bottom w:val="single" w:sz="4" w:space="1" w:color="auto"/>
          <w:right w:val="single" w:sz="4" w:space="4" w:color="auto"/>
        </w:pBdr>
        <w:spacing w:after="480" w:line="240" w:lineRule="auto"/>
        <w:jc w:val="both"/>
        <w:rPr>
          <w:rFonts w:ascii="Times New Roman" w:hAnsi="Times New Roman" w:cs="Times New Roman"/>
          <w:b/>
          <w:sz w:val="28"/>
          <w:szCs w:val="28"/>
        </w:rPr>
      </w:pPr>
      <w:r>
        <w:rPr>
          <w:rFonts w:ascii="Times New Roman" w:eastAsia="SimSun" w:hAnsi="Times New Roman" w:cs="Times New Roman"/>
          <w:b/>
          <w:sz w:val="28"/>
          <w:szCs w:val="28"/>
          <w:lang w:eastAsia="zh-CN"/>
        </w:rPr>
        <w:t>Το χαμηλό ιστορικό συμμετοχής</w:t>
      </w:r>
      <w:r>
        <w:rPr>
          <w:rFonts w:ascii="Times New Roman" w:hAnsi="Times New Roman" w:cs="Times New Roman"/>
          <w:b/>
          <w:sz w:val="28"/>
          <w:szCs w:val="28"/>
        </w:rPr>
        <w:t xml:space="preserve"> στις εκλογές για το Υπηρεσιακό Συμβούλιο Μεταθέσεων </w:t>
      </w:r>
      <w:r>
        <w:rPr>
          <w:rFonts w:ascii="Times New Roman" w:eastAsia="SimSun" w:hAnsi="Times New Roman" w:cs="Times New Roman"/>
          <w:b/>
          <w:sz w:val="28"/>
          <w:szCs w:val="28"/>
          <w:lang w:eastAsia="zh-CN"/>
        </w:rPr>
        <w:t>Πυρονόμων, Υπαξιωματικών και Πυροσβεστών του Πυροσβεστικού Σώματος, είναι το αποτέλεσμα του εκφυλισμού που έχουν επιβάλει διαχρονικά μέσω των αναξιοκρατικών αποφάσεων του, πολιτικές και φυσικές ηγεσίες σε συνεργασία με τους εκπροσώπους του κυβερνητικού συνδικαλισμού.</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Στις </w:t>
      </w:r>
      <w:r>
        <w:rPr>
          <w:rFonts w:ascii="Times New Roman" w:hAnsi="Times New Roman" w:cs="Times New Roman"/>
          <w:b/>
          <w:sz w:val="24"/>
          <w:szCs w:val="24"/>
        </w:rPr>
        <w:t>19 Δεκεμβρίου 2024</w:t>
      </w:r>
      <w:r>
        <w:rPr>
          <w:rFonts w:ascii="Times New Roman" w:hAnsi="Times New Roman" w:cs="Times New Roman"/>
          <w:sz w:val="24"/>
          <w:szCs w:val="24"/>
        </w:rPr>
        <w:t xml:space="preserve"> πραγματοποιήθηκε μέσο ηλεκτρονικής ψηφοφορίας η εκλογή για τα Υπηρεσιακά Συμβούλια Μεταθέσεων. Για άλλη μια φορά τα διαδικαστικά προβλήματα ήταν πάρα πολλά γεγονός που υποχρέωσε να ακυρωθούν οι προγραμματισμένες εκλογές της 10</w:t>
      </w:r>
      <w:r>
        <w:rPr>
          <w:rFonts w:ascii="Times New Roman" w:hAnsi="Times New Roman" w:cs="Times New Roman"/>
          <w:sz w:val="24"/>
          <w:szCs w:val="24"/>
          <w:vertAlign w:val="superscript"/>
        </w:rPr>
        <w:t>ης</w:t>
      </w:r>
      <w:r>
        <w:rPr>
          <w:rFonts w:ascii="Times New Roman" w:hAnsi="Times New Roman" w:cs="Times New Roman"/>
          <w:sz w:val="24"/>
          <w:szCs w:val="24"/>
        </w:rPr>
        <w:t xml:space="preserve"> Δεκεμβρίου. </w:t>
      </w:r>
    </w:p>
    <w:p>
      <w:pPr>
        <w:spacing w:after="240" w:line="257"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Σύμφωνα την εφορευτική επιτροπή, οι ψηφίσαντες υπάλληλοι ανέρχονται σε </w:t>
      </w:r>
      <w:r>
        <w:rPr>
          <w:rFonts w:ascii="Times New Roman" w:hAnsi="Times New Roman" w:cs="Times New Roman"/>
          <w:b/>
          <w:bCs/>
          <w:sz w:val="24"/>
          <w:szCs w:val="24"/>
        </w:rPr>
        <w:t>4.544,</w:t>
      </w:r>
      <w:r>
        <w:rPr>
          <w:rFonts w:ascii="Times New Roman" w:hAnsi="Times New Roman" w:cs="Times New Roman"/>
          <w:sz w:val="24"/>
          <w:szCs w:val="24"/>
        </w:rPr>
        <w:t xml:space="preserve"> ποσοστό συμμετοχής </w:t>
      </w:r>
      <w:r>
        <w:rPr>
          <w:rFonts w:ascii="Times New Roman" w:hAnsi="Times New Roman" w:cs="Times New Roman"/>
          <w:b/>
          <w:bCs/>
          <w:sz w:val="24"/>
          <w:szCs w:val="24"/>
        </w:rPr>
        <w:t>54,22%,</w:t>
      </w:r>
      <w:r>
        <w:rPr>
          <w:rFonts w:ascii="Times New Roman" w:hAnsi="Times New Roman" w:cs="Times New Roman"/>
          <w:sz w:val="24"/>
          <w:szCs w:val="24"/>
        </w:rPr>
        <w:t xml:space="preserve"> αριθμός που αποτελεί ιστορικά το χαμηλότερο ρεκόρ από κάθε άλλη φορά εδώ και </w:t>
      </w:r>
      <w:r>
        <w:rPr>
          <w:rFonts w:ascii="Times New Roman" w:hAnsi="Times New Roman" w:cs="Times New Roman"/>
          <w:b/>
          <w:bCs/>
          <w:sz w:val="24"/>
          <w:szCs w:val="24"/>
        </w:rPr>
        <w:t>24</w:t>
      </w:r>
      <w:r>
        <w:rPr>
          <w:rFonts w:ascii="Times New Roman" w:hAnsi="Times New Roman" w:cs="Times New Roman"/>
          <w:sz w:val="24"/>
          <w:szCs w:val="24"/>
        </w:rPr>
        <w:t xml:space="preserve"> χρόνια! </w:t>
      </w:r>
    </w:p>
    <w:tbl>
      <w:tblPr>
        <w:tblW w:w="9534" w:type="dxa"/>
        <w:jc w:val="center"/>
        <w:tblLayout w:type="fixed"/>
        <w:tblLook w:val="04A0" w:firstRow="1" w:lastRow="0" w:firstColumn="1" w:lastColumn="0" w:noHBand="0" w:noVBand="1"/>
      </w:tblPr>
      <w:tblGrid>
        <w:gridCol w:w="4291"/>
        <w:gridCol w:w="767"/>
        <w:gridCol w:w="738"/>
        <w:gridCol w:w="905"/>
        <w:gridCol w:w="904"/>
        <w:gridCol w:w="997"/>
        <w:gridCol w:w="485"/>
        <w:gridCol w:w="447"/>
      </w:tblGrid>
      <w:tr>
        <w:trPr>
          <w:trHeight w:val="288"/>
          <w:jc w:val="center"/>
        </w:trPr>
        <w:tc>
          <w:tcPr>
            <w:tcW w:w="9534" w:type="dxa"/>
            <w:gridSpan w:val="8"/>
            <w:tcBorders>
              <w:top w:val="single" w:sz="4" w:space="0" w:color="auto"/>
              <w:left w:val="single" w:sz="4" w:space="0" w:color="auto"/>
              <w:bottom w:val="single" w:sz="4" w:space="0" w:color="auto"/>
              <w:right w:val="single" w:sz="4" w:space="0" w:color="auto"/>
            </w:tcBorders>
            <w:noWrap/>
            <w:vAlign w:val="bottom"/>
          </w:tcPr>
          <w:p>
            <w:pPr>
              <w:spacing w:after="0"/>
              <w:jc w:val="both"/>
              <w:rPr>
                <w:rFonts w:ascii="Times New Roman" w:eastAsia="Times New Roman" w:hAnsi="Times New Roman" w:cs="Times New Roman"/>
                <w:b/>
                <w:bCs/>
                <w:lang w:val="en-US" w:eastAsia="el-GR"/>
              </w:rPr>
            </w:pPr>
            <w:r>
              <w:rPr>
                <w:rFonts w:ascii="Times New Roman" w:eastAsia="Times New Roman" w:hAnsi="Times New Roman" w:cs="Times New Roman"/>
                <w:b/>
                <w:bCs/>
                <w:lang w:eastAsia="el-GR"/>
              </w:rPr>
              <w:t xml:space="preserve">                               </w:t>
            </w:r>
            <w:r>
              <w:rPr>
                <w:rFonts w:ascii="Times New Roman" w:eastAsia="Times New Roman" w:hAnsi="Times New Roman" w:cs="Times New Roman"/>
                <w:b/>
                <w:bCs/>
                <w:lang w:val="en-US" w:eastAsia="el-GR"/>
              </w:rPr>
              <w:t xml:space="preserve">ΣΥΓΚΡΙΤΙΚΑ ΑΠΟΤΕΛΕΣΜΑΤΑ ΕΚΛΟΓΩΝ 2024 - 2022 </w:t>
            </w:r>
          </w:p>
        </w:tc>
      </w:tr>
      <w:tr>
        <w:trPr>
          <w:trHeight w:val="290"/>
          <w:jc w:val="center"/>
        </w:trPr>
        <w:tc>
          <w:tcPr>
            <w:tcW w:w="4291" w:type="dxa"/>
            <w:vMerge w:val="restart"/>
            <w:tcBorders>
              <w:top w:val="single" w:sz="4" w:space="0" w:color="auto"/>
              <w:left w:val="single" w:sz="4" w:space="0" w:color="auto"/>
              <w:right w:val="single" w:sz="4" w:space="0" w:color="auto"/>
            </w:tcBorders>
            <w:noWrap/>
            <w:vAlign w:val="bottom"/>
          </w:tcPr>
          <w:p>
            <w:pPr>
              <w:spacing w:after="0"/>
              <w:rPr>
                <w:rFonts w:ascii="Times New Roman" w:eastAsia="Times New Roman" w:hAnsi="Times New Roman" w:cs="Times New Roman"/>
                <w:lang w:val="en-US" w:eastAsia="el-GR"/>
              </w:rPr>
            </w:pPr>
          </w:p>
        </w:tc>
        <w:tc>
          <w:tcPr>
            <w:tcW w:w="767" w:type="dxa"/>
            <w:vMerge w:val="restart"/>
            <w:tcBorders>
              <w:top w:val="single" w:sz="4" w:space="0" w:color="auto"/>
              <w:left w:val="nil"/>
              <w:right w:val="single" w:sz="4" w:space="0" w:color="auto"/>
            </w:tcBorders>
            <w:noWrap/>
            <w:vAlign w:val="bottom"/>
          </w:tcPr>
          <w:p>
            <w:pPr>
              <w:spacing w:after="0"/>
              <w:jc w:val="right"/>
              <w:rPr>
                <w:rFonts w:ascii="Times New Roman" w:eastAsia="Times New Roman" w:hAnsi="Times New Roman" w:cs="Times New Roman"/>
                <w:b/>
                <w:bCs/>
                <w:lang w:val="en-US" w:eastAsia="el-GR"/>
              </w:rPr>
            </w:pPr>
            <w:r>
              <w:rPr>
                <w:rFonts w:ascii="Times New Roman" w:eastAsia="Times New Roman" w:hAnsi="Times New Roman" w:cs="Times New Roman"/>
                <w:b/>
                <w:bCs/>
                <w:lang w:val="en-US" w:eastAsia="el-GR"/>
              </w:rPr>
              <w:t>2024</w:t>
            </w:r>
          </w:p>
        </w:tc>
        <w:tc>
          <w:tcPr>
            <w:tcW w:w="738" w:type="dxa"/>
            <w:vMerge w:val="restart"/>
            <w:tcBorders>
              <w:top w:val="single" w:sz="4" w:space="0" w:color="auto"/>
              <w:left w:val="single" w:sz="4" w:space="0" w:color="auto"/>
              <w:right w:val="single" w:sz="4" w:space="0" w:color="auto"/>
            </w:tcBorders>
            <w:noWrap/>
            <w:vAlign w:val="bottom"/>
          </w:tcPr>
          <w:p>
            <w:pPr>
              <w:spacing w:after="0"/>
              <w:jc w:val="center"/>
              <w:rPr>
                <w:rFonts w:ascii="Times New Roman" w:eastAsia="Times New Roman" w:hAnsi="Times New Roman" w:cs="Times New Roman"/>
                <w:b/>
                <w:bCs/>
                <w:lang w:val="en-US" w:eastAsia="el-GR"/>
              </w:rPr>
            </w:pPr>
            <w:r>
              <w:rPr>
                <w:rFonts w:ascii="Times New Roman" w:eastAsia="Times New Roman" w:hAnsi="Times New Roman" w:cs="Times New Roman"/>
                <w:b/>
                <w:bCs/>
                <w:lang w:val="en-US" w:eastAsia="el-GR"/>
              </w:rPr>
              <w:t>%</w:t>
            </w:r>
          </w:p>
        </w:tc>
        <w:tc>
          <w:tcPr>
            <w:tcW w:w="905" w:type="dxa"/>
            <w:vMerge w:val="restart"/>
            <w:tcBorders>
              <w:top w:val="single" w:sz="4" w:space="0" w:color="auto"/>
              <w:left w:val="nil"/>
              <w:right w:val="single" w:sz="4" w:space="0" w:color="auto"/>
            </w:tcBorders>
            <w:shd w:val="clear" w:color="auto" w:fill="auto"/>
            <w:noWrap/>
            <w:vAlign w:val="bottom"/>
          </w:tcPr>
          <w:p>
            <w:pPr>
              <w:spacing w:after="0"/>
              <w:jc w:val="right"/>
              <w:rPr>
                <w:rFonts w:ascii="Times New Roman" w:eastAsia="Times New Roman" w:hAnsi="Times New Roman" w:cs="Times New Roman"/>
                <w:b/>
                <w:bCs/>
                <w:lang w:val="en-US" w:eastAsia="el-GR"/>
              </w:rPr>
            </w:pPr>
            <w:r>
              <w:rPr>
                <w:rFonts w:ascii="Times New Roman" w:eastAsia="Times New Roman" w:hAnsi="Times New Roman" w:cs="Times New Roman"/>
                <w:b/>
                <w:bCs/>
                <w:lang w:val="en-US" w:eastAsia="el-GR"/>
              </w:rPr>
              <w:t>2022</w:t>
            </w:r>
          </w:p>
        </w:tc>
        <w:tc>
          <w:tcPr>
            <w:tcW w:w="904" w:type="dxa"/>
            <w:vMerge w:val="restart"/>
            <w:tcBorders>
              <w:top w:val="single" w:sz="4" w:space="0" w:color="auto"/>
              <w:left w:val="nil"/>
              <w:right w:val="single" w:sz="4" w:space="0" w:color="auto"/>
            </w:tcBorders>
            <w:noWrap/>
            <w:vAlign w:val="bottom"/>
          </w:tcPr>
          <w:p>
            <w:pPr>
              <w:spacing w:after="0"/>
              <w:jc w:val="center"/>
              <w:rPr>
                <w:rFonts w:ascii="Times New Roman" w:eastAsia="Times New Roman" w:hAnsi="Times New Roman" w:cs="Times New Roman"/>
                <w:lang w:val="en-US" w:eastAsia="el-GR"/>
              </w:rPr>
            </w:pPr>
            <w:r>
              <w:rPr>
                <w:rFonts w:ascii="Times New Roman" w:eastAsia="Times New Roman" w:hAnsi="Times New Roman" w:cs="Times New Roman"/>
                <w:b/>
                <w:bCs/>
                <w:lang w:val="en-US" w:eastAsia="el-GR"/>
              </w:rPr>
              <w:t>%</w:t>
            </w:r>
          </w:p>
        </w:tc>
        <w:tc>
          <w:tcPr>
            <w:tcW w:w="1482" w:type="dxa"/>
            <w:gridSpan w:val="2"/>
            <w:tcBorders>
              <w:top w:val="single" w:sz="4" w:space="0" w:color="auto"/>
              <w:left w:val="single" w:sz="4" w:space="0" w:color="auto"/>
              <w:bottom w:val="single" w:sz="4" w:space="0" w:color="auto"/>
              <w:right w:val="nil"/>
            </w:tcBorders>
            <w:noWrap/>
            <w:vAlign w:val="bottom"/>
          </w:tcPr>
          <w:p>
            <w:pPr>
              <w:spacing w:after="0"/>
              <w:jc w:val="center"/>
              <w:rPr>
                <w:rFonts w:ascii="Times New Roman" w:eastAsia="Times New Roman" w:hAnsi="Times New Roman" w:cs="Times New Roman"/>
                <w:b/>
                <w:bCs/>
                <w:lang w:eastAsia="el-GR"/>
              </w:rPr>
            </w:pPr>
            <w:r>
              <w:rPr>
                <w:rFonts w:ascii="Times New Roman" w:eastAsia="Times New Roman" w:hAnsi="Times New Roman" w:cs="Times New Roman"/>
                <w:b/>
                <w:bCs/>
                <w:lang w:eastAsia="el-GR"/>
              </w:rPr>
              <w:t>Μεταβολή</w:t>
            </w:r>
          </w:p>
        </w:tc>
        <w:tc>
          <w:tcPr>
            <w:tcW w:w="447" w:type="dxa"/>
            <w:tcBorders>
              <w:top w:val="single" w:sz="4" w:space="0" w:color="auto"/>
              <w:left w:val="nil"/>
              <w:right w:val="single" w:sz="4" w:space="0" w:color="auto"/>
            </w:tcBorders>
            <w:noWrap/>
            <w:vAlign w:val="bottom"/>
          </w:tcPr>
          <w:p>
            <w:pPr>
              <w:spacing w:after="0"/>
              <w:jc w:val="both"/>
              <w:rPr>
                <w:rFonts w:ascii="Times New Roman" w:eastAsia="Times New Roman" w:hAnsi="Times New Roman" w:cs="Times New Roman"/>
                <w:lang w:eastAsia="el-GR"/>
              </w:rPr>
            </w:pPr>
          </w:p>
        </w:tc>
      </w:tr>
      <w:tr>
        <w:trPr>
          <w:trHeight w:val="259"/>
          <w:jc w:val="center"/>
        </w:trPr>
        <w:tc>
          <w:tcPr>
            <w:tcW w:w="4291" w:type="dxa"/>
            <w:vMerge/>
            <w:tcBorders>
              <w:left w:val="single" w:sz="4" w:space="0" w:color="auto"/>
              <w:bottom w:val="single" w:sz="4" w:space="0" w:color="auto"/>
              <w:right w:val="single" w:sz="4" w:space="0" w:color="auto"/>
            </w:tcBorders>
            <w:noWrap/>
            <w:vAlign w:val="bottom"/>
          </w:tcPr>
          <w:p>
            <w:pPr>
              <w:spacing w:after="0"/>
              <w:rPr>
                <w:rFonts w:ascii="Times New Roman" w:eastAsia="Times New Roman" w:hAnsi="Times New Roman" w:cs="Times New Roman"/>
                <w:lang w:val="en-US" w:eastAsia="el-GR"/>
              </w:rPr>
            </w:pPr>
          </w:p>
        </w:tc>
        <w:tc>
          <w:tcPr>
            <w:tcW w:w="767" w:type="dxa"/>
            <w:vMerge/>
            <w:tcBorders>
              <w:left w:val="nil"/>
              <w:bottom w:val="single" w:sz="4" w:space="0" w:color="auto"/>
              <w:right w:val="single" w:sz="4" w:space="0" w:color="auto"/>
            </w:tcBorders>
            <w:noWrap/>
            <w:vAlign w:val="bottom"/>
          </w:tcPr>
          <w:p>
            <w:pPr>
              <w:spacing w:after="0"/>
              <w:jc w:val="right"/>
              <w:rPr>
                <w:rFonts w:ascii="Times New Roman" w:eastAsia="Times New Roman" w:hAnsi="Times New Roman" w:cs="Times New Roman"/>
                <w:b/>
                <w:bCs/>
                <w:lang w:val="en-US" w:eastAsia="el-GR"/>
              </w:rPr>
            </w:pPr>
          </w:p>
        </w:tc>
        <w:tc>
          <w:tcPr>
            <w:tcW w:w="738" w:type="dxa"/>
            <w:vMerge/>
            <w:tcBorders>
              <w:left w:val="single" w:sz="4" w:space="0" w:color="auto"/>
              <w:bottom w:val="single" w:sz="4" w:space="0" w:color="auto"/>
              <w:right w:val="single" w:sz="4" w:space="0" w:color="auto"/>
            </w:tcBorders>
            <w:noWrap/>
            <w:vAlign w:val="bottom"/>
          </w:tcPr>
          <w:p>
            <w:pPr>
              <w:spacing w:after="0"/>
              <w:jc w:val="center"/>
              <w:rPr>
                <w:rFonts w:ascii="Times New Roman" w:eastAsia="Times New Roman" w:hAnsi="Times New Roman" w:cs="Times New Roman"/>
                <w:b/>
                <w:bCs/>
                <w:lang w:val="en-US" w:eastAsia="el-GR"/>
              </w:rPr>
            </w:pPr>
          </w:p>
        </w:tc>
        <w:tc>
          <w:tcPr>
            <w:tcW w:w="905" w:type="dxa"/>
            <w:vMerge/>
            <w:tcBorders>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b/>
                <w:bCs/>
                <w:lang w:val="en-US" w:eastAsia="el-GR"/>
              </w:rPr>
            </w:pPr>
          </w:p>
        </w:tc>
        <w:tc>
          <w:tcPr>
            <w:tcW w:w="904" w:type="dxa"/>
            <w:vMerge/>
            <w:tcBorders>
              <w:left w:val="nil"/>
              <w:bottom w:val="single" w:sz="4" w:space="0" w:color="auto"/>
              <w:right w:val="single" w:sz="4" w:space="0" w:color="auto"/>
            </w:tcBorders>
            <w:noWrap/>
            <w:vAlign w:val="bottom"/>
          </w:tcPr>
          <w:p>
            <w:pPr>
              <w:spacing w:after="0"/>
              <w:jc w:val="center"/>
              <w:rPr>
                <w:rFonts w:ascii="Times New Roman" w:eastAsia="Times New Roman" w:hAnsi="Times New Roman" w:cs="Times New Roman"/>
                <w:b/>
                <w:bCs/>
                <w:lang w:val="en-US" w:eastAsia="el-GR"/>
              </w:rPr>
            </w:pPr>
          </w:p>
        </w:tc>
        <w:tc>
          <w:tcPr>
            <w:tcW w:w="997" w:type="dxa"/>
            <w:tcBorders>
              <w:top w:val="single" w:sz="4" w:space="0" w:color="auto"/>
              <w:left w:val="single" w:sz="4" w:space="0" w:color="auto"/>
              <w:bottom w:val="single" w:sz="4" w:space="0" w:color="auto"/>
              <w:right w:val="single" w:sz="4" w:space="0" w:color="auto"/>
            </w:tcBorders>
            <w:noWrap/>
            <w:vAlign w:val="bottom"/>
          </w:tcPr>
          <w:p>
            <w:pPr>
              <w:spacing w:after="0"/>
              <w:jc w:val="center"/>
              <w:rPr>
                <w:rFonts w:ascii="Times New Roman" w:eastAsia="Times New Roman" w:hAnsi="Times New Roman" w:cs="Times New Roman"/>
                <w:b/>
                <w:bCs/>
                <w:lang w:val="en-US" w:eastAsia="el-GR"/>
              </w:rPr>
            </w:pPr>
            <w:r>
              <w:rPr>
                <w:rFonts w:ascii="Times New Roman" w:eastAsia="Times New Roman" w:hAnsi="Times New Roman" w:cs="Times New Roman"/>
                <w:b/>
                <w:bCs/>
                <w:lang w:eastAsia="el-GR"/>
              </w:rPr>
              <w:t>Ψηφισ</w:t>
            </w:r>
            <w:r>
              <w:rPr>
                <w:rFonts w:ascii="Times New Roman" w:eastAsia="Times New Roman" w:hAnsi="Times New Roman" w:cs="Times New Roman"/>
                <w:b/>
                <w:bCs/>
                <w:lang w:val="en-US" w:eastAsia="el-GR"/>
              </w:rPr>
              <w:t>.</w:t>
            </w:r>
          </w:p>
        </w:tc>
        <w:tc>
          <w:tcPr>
            <w:tcW w:w="485" w:type="dxa"/>
            <w:tcBorders>
              <w:top w:val="single" w:sz="4" w:space="0" w:color="auto"/>
              <w:left w:val="single" w:sz="4" w:space="0" w:color="auto"/>
              <w:bottom w:val="single" w:sz="4" w:space="0" w:color="auto"/>
              <w:right w:val="nil"/>
            </w:tcBorders>
            <w:noWrap/>
            <w:vAlign w:val="bottom"/>
          </w:tcPr>
          <w:p>
            <w:pPr>
              <w:spacing w:after="0"/>
              <w:jc w:val="center"/>
              <w:rPr>
                <w:rFonts w:ascii="Times New Roman" w:eastAsia="Times New Roman" w:hAnsi="Times New Roman" w:cs="Times New Roman"/>
                <w:b/>
                <w:bCs/>
                <w:lang w:val="en-US" w:eastAsia="el-GR"/>
              </w:rPr>
            </w:pPr>
            <w:r>
              <w:rPr>
                <w:rFonts w:ascii="Times New Roman" w:eastAsia="Times New Roman" w:hAnsi="Times New Roman" w:cs="Times New Roman"/>
                <w:b/>
                <w:bCs/>
                <w:lang w:val="en-US" w:eastAsia="el-GR"/>
              </w:rPr>
              <w:t>%</w:t>
            </w:r>
          </w:p>
        </w:tc>
        <w:tc>
          <w:tcPr>
            <w:tcW w:w="447" w:type="dxa"/>
            <w:tcBorders>
              <w:top w:val="single" w:sz="4" w:space="0" w:color="auto"/>
              <w:left w:val="nil"/>
              <w:bottom w:val="single" w:sz="4" w:space="0" w:color="auto"/>
              <w:right w:val="single" w:sz="4" w:space="0" w:color="auto"/>
            </w:tcBorders>
            <w:noWrap/>
            <w:vAlign w:val="bottom"/>
          </w:tcPr>
          <w:p>
            <w:pPr>
              <w:spacing w:after="0"/>
              <w:jc w:val="center"/>
              <w:rPr>
                <w:rFonts w:ascii="Times New Roman" w:eastAsia="Times New Roman" w:hAnsi="Times New Roman" w:cs="Times New Roman"/>
                <w:b/>
                <w:bCs/>
                <w:lang w:eastAsia="el-GR"/>
              </w:rPr>
            </w:pPr>
          </w:p>
        </w:tc>
      </w:tr>
      <w:tr>
        <w:trPr>
          <w:trHeight w:val="288"/>
          <w:jc w:val="center"/>
        </w:trPr>
        <w:tc>
          <w:tcPr>
            <w:tcW w:w="4291" w:type="dxa"/>
            <w:tcBorders>
              <w:top w:val="single" w:sz="4" w:space="0" w:color="auto"/>
              <w:left w:val="single" w:sz="4" w:space="0" w:color="auto"/>
              <w:bottom w:val="single" w:sz="4" w:space="0" w:color="auto"/>
              <w:right w:val="single" w:sz="4" w:space="0" w:color="auto"/>
            </w:tcBorders>
            <w:noWrap/>
            <w:vAlign w:val="bottom"/>
          </w:tcPr>
          <w:p>
            <w:pPr>
              <w:spacing w:after="0"/>
              <w:rPr>
                <w:rFonts w:ascii="Times New Roman" w:eastAsia="Times New Roman" w:hAnsi="Times New Roman" w:cs="Times New Roman"/>
                <w:lang w:val="en-US" w:eastAsia="el-GR"/>
              </w:rPr>
            </w:pPr>
            <w:r>
              <w:rPr>
                <w:rFonts w:ascii="Times New Roman" w:eastAsia="Times New Roman" w:hAnsi="Times New Roman" w:cs="Times New Roman"/>
                <w:lang w:val="en-US" w:eastAsia="el-GR"/>
              </w:rPr>
              <w:t xml:space="preserve">ΔΙΚΑΙΩΜΑ ΨΗΦΟΥ </w:t>
            </w:r>
          </w:p>
        </w:tc>
        <w:tc>
          <w:tcPr>
            <w:tcW w:w="767" w:type="dxa"/>
            <w:tcBorders>
              <w:top w:val="single" w:sz="4" w:space="0" w:color="auto"/>
              <w:left w:val="nil"/>
              <w:bottom w:val="single" w:sz="4" w:space="0" w:color="auto"/>
              <w:right w:val="single" w:sz="4" w:space="0" w:color="auto"/>
            </w:tcBorders>
            <w:noWrap/>
            <w:vAlign w:val="bottom"/>
          </w:tcPr>
          <w:p>
            <w:pPr>
              <w:spacing w:after="0"/>
              <w:jc w:val="right"/>
              <w:rPr>
                <w:rFonts w:ascii="Times New Roman" w:eastAsia="Times New Roman" w:hAnsi="Times New Roman" w:cs="Times New Roman"/>
                <w:b/>
                <w:bCs/>
                <w:lang w:eastAsia="el-GR"/>
              </w:rPr>
            </w:pPr>
            <w:r>
              <w:rPr>
                <w:rFonts w:ascii="Times New Roman" w:eastAsia="Times New Roman" w:hAnsi="Times New Roman" w:cs="Times New Roman"/>
                <w:lang w:val="en-US" w:eastAsia="el-GR"/>
              </w:rPr>
              <w:t>8.380</w:t>
            </w:r>
            <w:r>
              <w:rPr>
                <w:rFonts w:ascii="Times New Roman" w:eastAsia="Times New Roman" w:hAnsi="Times New Roman" w:cs="Times New Roman"/>
                <w:b/>
                <w:bCs/>
                <w:lang w:eastAsia="el-GR"/>
              </w:rPr>
              <w:t> </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both"/>
              <w:rPr>
                <w:rFonts w:ascii="Times New Roman" w:eastAsia="Times New Roman" w:hAnsi="Times New Roman" w:cs="Times New Roman"/>
                <w:lang w:val="en-US" w:eastAsia="el-GR"/>
              </w:rPr>
            </w:pPr>
          </w:p>
        </w:tc>
        <w:tc>
          <w:tcPr>
            <w:tcW w:w="905" w:type="dxa"/>
            <w:tcBorders>
              <w:top w:val="single" w:sz="4" w:space="0" w:color="auto"/>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b/>
                <w:bCs/>
                <w:lang w:val="en-US" w:eastAsia="el-GR"/>
              </w:rPr>
            </w:pPr>
            <w:r>
              <w:rPr>
                <w:rFonts w:ascii="Times New Roman" w:hAnsi="Times New Roman" w:cs="Times New Roman"/>
                <w:sz w:val="24"/>
                <w:szCs w:val="24"/>
              </w:rPr>
              <w:t>8.734</w:t>
            </w:r>
          </w:p>
        </w:tc>
        <w:tc>
          <w:tcPr>
            <w:tcW w:w="904" w:type="dxa"/>
            <w:tcBorders>
              <w:top w:val="single" w:sz="4" w:space="0" w:color="auto"/>
              <w:left w:val="nil"/>
              <w:bottom w:val="single" w:sz="4" w:space="0" w:color="auto"/>
              <w:right w:val="single" w:sz="4" w:space="0" w:color="auto"/>
            </w:tcBorders>
            <w:noWrap/>
            <w:vAlign w:val="bottom"/>
          </w:tcPr>
          <w:p>
            <w:pPr>
              <w:spacing w:after="0"/>
              <w:jc w:val="center"/>
              <w:rPr>
                <w:rFonts w:ascii="Times New Roman" w:eastAsia="Times New Roman" w:hAnsi="Times New Roman" w:cs="Times New Roman"/>
                <w:lang w:val="en-US" w:eastAsia="el-GR"/>
              </w:rPr>
            </w:pP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lang w:val="en-US" w:eastAsia="el-GR"/>
              </w:rPr>
            </w:pPr>
            <w:r>
              <w:rPr>
                <w:rFonts w:ascii="Times New Roman" w:eastAsia="Times New Roman" w:hAnsi="Times New Roman" w:cs="Times New Roman"/>
                <w:lang w:val="en-US" w:eastAsia="el-GR"/>
              </w:rPr>
              <w:t xml:space="preserve"> -354</w:t>
            </w:r>
          </w:p>
        </w:tc>
        <w:tc>
          <w:tcPr>
            <w:tcW w:w="932" w:type="dxa"/>
            <w:gridSpan w:val="2"/>
            <w:tcBorders>
              <w:top w:val="single" w:sz="4" w:space="0" w:color="auto"/>
              <w:left w:val="single" w:sz="4" w:space="0" w:color="auto"/>
              <w:bottom w:val="single" w:sz="4" w:space="0" w:color="auto"/>
              <w:right w:val="single" w:sz="4" w:space="0" w:color="auto"/>
            </w:tcBorders>
            <w:noWrap/>
            <w:vAlign w:val="bottom"/>
          </w:tcPr>
          <w:p>
            <w:pPr>
              <w:spacing w:after="0"/>
              <w:jc w:val="both"/>
              <w:rPr>
                <w:rFonts w:ascii="Times New Roman" w:eastAsia="Times New Roman" w:hAnsi="Times New Roman" w:cs="Times New Roman"/>
                <w:lang w:val="en-US" w:eastAsia="el-GR"/>
              </w:rPr>
            </w:pPr>
          </w:p>
        </w:tc>
      </w:tr>
      <w:tr>
        <w:trPr>
          <w:trHeight w:val="288"/>
          <w:jc w:val="center"/>
        </w:trPr>
        <w:tc>
          <w:tcPr>
            <w:tcW w:w="4291" w:type="dxa"/>
            <w:tcBorders>
              <w:top w:val="nil"/>
              <w:left w:val="single" w:sz="4" w:space="0" w:color="auto"/>
              <w:bottom w:val="single" w:sz="4" w:space="0" w:color="auto"/>
              <w:right w:val="single" w:sz="4" w:space="0" w:color="auto"/>
            </w:tcBorders>
            <w:noWrap/>
            <w:vAlign w:val="bottom"/>
          </w:tcPr>
          <w:p>
            <w:pPr>
              <w:spacing w:after="0"/>
              <w:rPr>
                <w:rFonts w:ascii="Times New Roman" w:eastAsia="Times New Roman" w:hAnsi="Times New Roman" w:cs="Times New Roman"/>
                <w:lang w:eastAsia="el-GR"/>
              </w:rPr>
            </w:pPr>
            <w:r>
              <w:rPr>
                <w:rFonts w:ascii="Times New Roman" w:eastAsia="Times New Roman" w:hAnsi="Times New Roman" w:cs="Times New Roman"/>
                <w:lang w:eastAsia="el-GR"/>
              </w:rPr>
              <w:t>ΨΗΦΙΣΑΝ</w:t>
            </w:r>
          </w:p>
        </w:tc>
        <w:tc>
          <w:tcPr>
            <w:tcW w:w="767" w:type="dxa"/>
            <w:tcBorders>
              <w:top w:val="nil"/>
              <w:left w:val="nil"/>
              <w:bottom w:val="single" w:sz="4" w:space="0" w:color="auto"/>
              <w:right w:val="single" w:sz="4" w:space="0" w:color="auto"/>
            </w:tcBorders>
            <w:noWrap/>
            <w:vAlign w:val="bottom"/>
          </w:tcPr>
          <w:p>
            <w:pPr>
              <w:spacing w:after="0"/>
              <w:jc w:val="right"/>
              <w:rPr>
                <w:rFonts w:ascii="Times New Roman" w:eastAsia="Times New Roman" w:hAnsi="Times New Roman" w:cs="Times New Roman"/>
                <w:lang w:eastAsia="el-GR"/>
              </w:rPr>
            </w:pPr>
            <w:r>
              <w:rPr>
                <w:rFonts w:ascii="Times New Roman" w:eastAsia="Times New Roman" w:hAnsi="Times New Roman" w:cs="Times New Roman"/>
                <w:lang w:eastAsia="el-GR"/>
              </w:rPr>
              <w:t>4.544</w:t>
            </w:r>
          </w:p>
        </w:tc>
        <w:tc>
          <w:tcPr>
            <w:tcW w:w="738" w:type="dxa"/>
            <w:tcBorders>
              <w:top w:val="nil"/>
              <w:left w:val="single" w:sz="4" w:space="0" w:color="auto"/>
              <w:bottom w:val="single" w:sz="4" w:space="0" w:color="auto"/>
              <w:right w:val="single" w:sz="4" w:space="0" w:color="auto"/>
            </w:tcBorders>
            <w:shd w:val="clear" w:color="auto" w:fill="auto"/>
            <w:noWrap/>
            <w:vAlign w:val="center"/>
          </w:tcPr>
          <w:p>
            <w:pPr>
              <w:spacing w:after="0"/>
              <w:jc w:val="center"/>
              <w:rPr>
                <w:rFonts w:ascii="Times New Roman" w:eastAsia="Times New Roman" w:hAnsi="Times New Roman" w:cs="Times New Roman"/>
                <w:lang w:val="en-US" w:eastAsia="el-GR"/>
              </w:rPr>
            </w:pPr>
            <w:r>
              <w:rPr>
                <w:rFonts w:ascii="Times New Roman" w:eastAsia="Times New Roman" w:hAnsi="Times New Roman" w:cs="Times New Roman"/>
                <w:lang w:eastAsia="el-GR"/>
              </w:rPr>
              <w:t>54,2</w:t>
            </w:r>
            <w:r>
              <w:rPr>
                <w:rFonts w:ascii="Times New Roman" w:eastAsia="Times New Roman" w:hAnsi="Times New Roman" w:cs="Times New Roman"/>
                <w:lang w:val="en-US" w:eastAsia="el-GR"/>
              </w:rPr>
              <w:t>2</w:t>
            </w:r>
          </w:p>
        </w:tc>
        <w:tc>
          <w:tcPr>
            <w:tcW w:w="905"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lang w:eastAsia="el-GR"/>
              </w:rPr>
            </w:pPr>
            <w:r>
              <w:rPr>
                <w:rFonts w:ascii="Times New Roman" w:hAnsi="Times New Roman" w:cs="Times New Roman"/>
                <w:sz w:val="24"/>
                <w:szCs w:val="24"/>
              </w:rPr>
              <w:t>5.182</w:t>
            </w:r>
          </w:p>
        </w:tc>
        <w:tc>
          <w:tcPr>
            <w:tcW w:w="904"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b/>
                <w:bCs/>
                <w:lang w:val="en-US" w:eastAsia="el-GR"/>
              </w:rPr>
            </w:pPr>
            <w:r>
              <w:rPr>
                <w:rFonts w:ascii="Times New Roman" w:eastAsia="Times New Roman" w:hAnsi="Times New Roman" w:cs="Times New Roman"/>
                <w:lang w:val="en-US" w:eastAsia="el-GR"/>
              </w:rPr>
              <w:t>59,33</w:t>
            </w:r>
          </w:p>
        </w:tc>
        <w:tc>
          <w:tcPr>
            <w:tcW w:w="997" w:type="dxa"/>
            <w:tcBorders>
              <w:top w:val="nil"/>
              <w:left w:val="single" w:sz="4" w:space="0" w:color="auto"/>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b/>
                <w:bCs/>
                <w:lang w:val="en-US" w:eastAsia="el-GR"/>
              </w:rPr>
            </w:pPr>
            <w:r>
              <w:rPr>
                <w:rFonts w:ascii="Times New Roman" w:eastAsia="Times New Roman" w:hAnsi="Times New Roman" w:cs="Times New Roman"/>
                <w:lang w:val="en-US" w:eastAsia="el-GR"/>
              </w:rPr>
              <w:t>-638</w:t>
            </w:r>
          </w:p>
        </w:tc>
        <w:tc>
          <w:tcPr>
            <w:tcW w:w="932" w:type="dxa"/>
            <w:gridSpan w:val="2"/>
            <w:tcBorders>
              <w:top w:val="nil"/>
              <w:left w:val="single" w:sz="4" w:space="0" w:color="auto"/>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b/>
                <w:bCs/>
                <w:lang w:val="en-US" w:eastAsia="el-GR"/>
              </w:rPr>
            </w:pPr>
            <w:r>
              <w:rPr>
                <w:rFonts w:ascii="Times New Roman" w:eastAsia="Times New Roman" w:hAnsi="Times New Roman" w:cs="Times New Roman"/>
                <w:b/>
                <w:bCs/>
                <w:lang w:val="en-US" w:eastAsia="el-GR"/>
              </w:rPr>
              <w:t>-</w:t>
            </w:r>
            <w:r>
              <w:rPr>
                <w:rFonts w:ascii="Times New Roman" w:eastAsia="Times New Roman" w:hAnsi="Times New Roman" w:cs="Times New Roman"/>
                <w:lang w:val="en-US" w:eastAsia="el-GR"/>
              </w:rPr>
              <w:t>5,11</w:t>
            </w:r>
          </w:p>
        </w:tc>
      </w:tr>
      <w:tr>
        <w:trPr>
          <w:trHeight w:val="288"/>
          <w:jc w:val="center"/>
        </w:trPr>
        <w:tc>
          <w:tcPr>
            <w:tcW w:w="4291" w:type="dxa"/>
            <w:tcBorders>
              <w:top w:val="nil"/>
              <w:left w:val="single" w:sz="4" w:space="0" w:color="auto"/>
              <w:bottom w:val="single" w:sz="4" w:space="0" w:color="auto"/>
              <w:right w:val="single" w:sz="4" w:space="0" w:color="auto"/>
            </w:tcBorders>
            <w:noWrap/>
            <w:vAlign w:val="bottom"/>
          </w:tcPr>
          <w:p>
            <w:pPr>
              <w:spacing w:after="0"/>
              <w:rPr>
                <w:rFonts w:ascii="Times New Roman" w:eastAsia="Times New Roman" w:hAnsi="Times New Roman" w:cs="Times New Roman"/>
                <w:lang w:val="en-US" w:eastAsia="el-GR"/>
              </w:rPr>
            </w:pPr>
            <w:r>
              <w:rPr>
                <w:rFonts w:ascii="Times New Roman" w:eastAsia="Times New Roman" w:hAnsi="Times New Roman" w:cs="Times New Roman"/>
                <w:lang w:eastAsia="el-GR"/>
              </w:rPr>
              <w:t>ΑΠΟΧΗ</w:t>
            </w:r>
            <w:r>
              <w:rPr>
                <w:rFonts w:ascii="Times New Roman" w:eastAsia="Times New Roman" w:hAnsi="Times New Roman" w:cs="Times New Roman"/>
                <w:lang w:val="en-US" w:eastAsia="el-GR"/>
              </w:rPr>
              <w:t xml:space="preserve"> </w:t>
            </w:r>
          </w:p>
        </w:tc>
        <w:tc>
          <w:tcPr>
            <w:tcW w:w="767" w:type="dxa"/>
            <w:tcBorders>
              <w:top w:val="nil"/>
              <w:left w:val="nil"/>
              <w:bottom w:val="single" w:sz="4" w:space="0" w:color="auto"/>
              <w:right w:val="single" w:sz="4" w:space="0" w:color="auto"/>
            </w:tcBorders>
            <w:noWrap/>
            <w:vAlign w:val="bottom"/>
          </w:tcPr>
          <w:p>
            <w:pPr>
              <w:spacing w:after="0"/>
              <w:jc w:val="right"/>
              <w:rPr>
                <w:rFonts w:ascii="Times New Roman" w:eastAsia="Times New Roman" w:hAnsi="Times New Roman" w:cs="Times New Roman"/>
                <w:lang w:val="en-US" w:eastAsia="el-GR"/>
              </w:rPr>
            </w:pPr>
            <w:r>
              <w:rPr>
                <w:rFonts w:ascii="Times New Roman" w:eastAsia="Times New Roman" w:hAnsi="Times New Roman" w:cs="Times New Roman"/>
                <w:lang w:val="en-US" w:eastAsia="el-GR"/>
              </w:rPr>
              <w:t>3.836</w:t>
            </w:r>
          </w:p>
        </w:tc>
        <w:tc>
          <w:tcPr>
            <w:tcW w:w="738" w:type="dxa"/>
            <w:tcBorders>
              <w:top w:val="nil"/>
              <w:left w:val="single" w:sz="4" w:space="0" w:color="auto"/>
              <w:bottom w:val="single" w:sz="4" w:space="0" w:color="auto"/>
              <w:right w:val="single" w:sz="4" w:space="0" w:color="auto"/>
            </w:tcBorders>
            <w:shd w:val="clear" w:color="auto" w:fill="auto"/>
            <w:noWrap/>
            <w:vAlign w:val="center"/>
          </w:tcPr>
          <w:p>
            <w:pPr>
              <w:spacing w:after="0"/>
              <w:jc w:val="center"/>
              <w:rPr>
                <w:rFonts w:ascii="Times New Roman" w:eastAsia="Times New Roman" w:hAnsi="Times New Roman" w:cs="Times New Roman"/>
                <w:lang w:val="en-US" w:eastAsia="el-GR"/>
              </w:rPr>
            </w:pPr>
            <w:r>
              <w:rPr>
                <w:rFonts w:ascii="Times New Roman" w:eastAsia="Times New Roman" w:hAnsi="Times New Roman" w:cs="Times New Roman"/>
                <w:lang w:val="en-US" w:eastAsia="el-GR"/>
              </w:rPr>
              <w:t>45,77</w:t>
            </w:r>
          </w:p>
        </w:tc>
        <w:tc>
          <w:tcPr>
            <w:tcW w:w="905"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lang w:val="en-US" w:eastAsia="el-GR"/>
              </w:rPr>
            </w:pPr>
            <w:r>
              <w:rPr>
                <w:rFonts w:ascii="Times New Roman" w:hAnsi="Times New Roman" w:cs="Times New Roman"/>
                <w:sz w:val="24"/>
                <w:szCs w:val="24"/>
              </w:rPr>
              <w:t xml:space="preserve">2.926 </w:t>
            </w:r>
          </w:p>
        </w:tc>
        <w:tc>
          <w:tcPr>
            <w:tcW w:w="904"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b/>
                <w:bCs/>
                <w:lang w:val="en-US" w:eastAsia="el-GR"/>
              </w:rPr>
            </w:pPr>
            <w:r>
              <w:rPr>
                <w:rFonts w:ascii="Times New Roman" w:eastAsia="Times New Roman" w:hAnsi="Times New Roman" w:cs="Times New Roman"/>
                <w:lang w:val="en-US" w:eastAsia="el-GR"/>
              </w:rPr>
              <w:t>33,50</w:t>
            </w:r>
          </w:p>
        </w:tc>
        <w:tc>
          <w:tcPr>
            <w:tcW w:w="997" w:type="dxa"/>
            <w:tcBorders>
              <w:top w:val="nil"/>
              <w:left w:val="single" w:sz="4" w:space="0" w:color="auto"/>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b/>
                <w:bCs/>
                <w:lang w:val="en-US" w:eastAsia="el-GR"/>
              </w:rPr>
            </w:pPr>
            <w:r>
              <w:rPr>
                <w:rFonts w:ascii="Times New Roman" w:eastAsia="Times New Roman" w:hAnsi="Times New Roman" w:cs="Times New Roman"/>
                <w:lang w:val="en-US" w:eastAsia="el-GR"/>
              </w:rPr>
              <w:t>+910</w:t>
            </w:r>
          </w:p>
        </w:tc>
        <w:tc>
          <w:tcPr>
            <w:tcW w:w="932" w:type="dxa"/>
            <w:gridSpan w:val="2"/>
            <w:tcBorders>
              <w:top w:val="nil"/>
              <w:left w:val="single" w:sz="4" w:space="0" w:color="auto"/>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b/>
                <w:bCs/>
                <w:lang w:val="en-US" w:eastAsia="el-GR"/>
              </w:rPr>
            </w:pPr>
            <w:r>
              <w:rPr>
                <w:rFonts w:ascii="Times New Roman" w:eastAsia="Times New Roman" w:hAnsi="Times New Roman" w:cs="Times New Roman"/>
                <w:sz w:val="20"/>
                <w:szCs w:val="20"/>
                <w:lang w:val="en-US" w:eastAsia="el-GR"/>
              </w:rPr>
              <w:t>+12,27</w:t>
            </w:r>
          </w:p>
        </w:tc>
      </w:tr>
      <w:tr>
        <w:trPr>
          <w:trHeight w:val="288"/>
          <w:jc w:val="center"/>
        </w:trPr>
        <w:tc>
          <w:tcPr>
            <w:tcW w:w="4291" w:type="dxa"/>
            <w:tcBorders>
              <w:top w:val="nil"/>
              <w:left w:val="single" w:sz="4" w:space="0" w:color="auto"/>
              <w:bottom w:val="single" w:sz="4" w:space="0" w:color="auto"/>
              <w:right w:val="single" w:sz="4" w:space="0" w:color="auto"/>
            </w:tcBorders>
            <w:noWrap/>
            <w:vAlign w:val="bottom"/>
          </w:tcPr>
          <w:p>
            <w:pPr>
              <w:spacing w:after="0"/>
              <w:rPr>
                <w:rFonts w:ascii="Times New Roman" w:eastAsia="Times New Roman" w:hAnsi="Times New Roman" w:cs="Times New Roman"/>
                <w:lang w:eastAsia="el-GR"/>
              </w:rPr>
            </w:pPr>
            <w:r>
              <w:rPr>
                <w:rFonts w:ascii="Times New Roman" w:eastAsia="Times New Roman" w:hAnsi="Times New Roman" w:cs="Times New Roman"/>
                <w:lang w:eastAsia="el-GR"/>
              </w:rPr>
              <w:t>ΛΕΥΚΑ / ΑΚΥΡΑ</w:t>
            </w:r>
          </w:p>
        </w:tc>
        <w:tc>
          <w:tcPr>
            <w:tcW w:w="767" w:type="dxa"/>
            <w:tcBorders>
              <w:top w:val="nil"/>
              <w:left w:val="nil"/>
              <w:bottom w:val="single" w:sz="4" w:space="0" w:color="auto"/>
              <w:right w:val="single" w:sz="4" w:space="0" w:color="auto"/>
            </w:tcBorders>
            <w:noWrap/>
            <w:vAlign w:val="bottom"/>
          </w:tcPr>
          <w:p>
            <w:pPr>
              <w:spacing w:after="0"/>
              <w:jc w:val="right"/>
              <w:rPr>
                <w:rFonts w:ascii="Times New Roman" w:eastAsia="Times New Roman" w:hAnsi="Times New Roman" w:cs="Times New Roman"/>
                <w:lang w:eastAsia="el-GR"/>
              </w:rPr>
            </w:pPr>
            <w:r>
              <w:rPr>
                <w:rFonts w:ascii="Times New Roman" w:eastAsia="Times New Roman" w:hAnsi="Times New Roman" w:cs="Times New Roman"/>
                <w:lang w:eastAsia="el-GR"/>
              </w:rPr>
              <w:t>133</w:t>
            </w:r>
          </w:p>
        </w:tc>
        <w:tc>
          <w:tcPr>
            <w:tcW w:w="738" w:type="dxa"/>
            <w:tcBorders>
              <w:top w:val="nil"/>
              <w:left w:val="single" w:sz="4" w:space="0" w:color="auto"/>
              <w:bottom w:val="single" w:sz="4" w:space="0" w:color="auto"/>
              <w:right w:val="single" w:sz="4" w:space="0" w:color="auto"/>
            </w:tcBorders>
            <w:shd w:val="clear" w:color="auto" w:fill="auto"/>
            <w:noWrap/>
            <w:vAlign w:val="center"/>
          </w:tcPr>
          <w:p>
            <w:pPr>
              <w:spacing w:after="0"/>
              <w:jc w:val="center"/>
              <w:rPr>
                <w:rFonts w:ascii="Times New Roman" w:eastAsia="Times New Roman" w:hAnsi="Times New Roman" w:cs="Times New Roman"/>
                <w:lang w:val="en-US" w:eastAsia="el-GR"/>
              </w:rPr>
            </w:pPr>
          </w:p>
        </w:tc>
        <w:tc>
          <w:tcPr>
            <w:tcW w:w="905" w:type="dxa"/>
            <w:tcBorders>
              <w:top w:val="nil"/>
              <w:left w:val="nil"/>
              <w:bottom w:val="single" w:sz="4" w:space="0" w:color="auto"/>
              <w:right w:val="single" w:sz="4" w:space="0" w:color="auto"/>
            </w:tcBorders>
            <w:noWrap/>
            <w:vAlign w:val="center"/>
          </w:tcPr>
          <w:p>
            <w:pPr>
              <w:spacing w:after="0"/>
              <w:jc w:val="right"/>
              <w:rPr>
                <w:rFonts w:ascii="Times New Roman" w:eastAsia="Times New Roman" w:hAnsi="Times New Roman" w:cs="Times New Roman"/>
                <w:lang w:val="en-US" w:eastAsia="el-GR"/>
              </w:rPr>
            </w:pPr>
            <w:r>
              <w:rPr>
                <w:rFonts w:ascii="Times New Roman" w:eastAsia="Times New Roman" w:hAnsi="Times New Roman" w:cs="Times New Roman"/>
                <w:lang w:val="en-US" w:eastAsia="el-GR"/>
              </w:rPr>
              <w:t>326</w:t>
            </w:r>
          </w:p>
        </w:tc>
        <w:tc>
          <w:tcPr>
            <w:tcW w:w="904"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lang w:eastAsia="el-GR"/>
              </w:rPr>
            </w:pPr>
          </w:p>
        </w:tc>
        <w:tc>
          <w:tcPr>
            <w:tcW w:w="997" w:type="dxa"/>
            <w:tcBorders>
              <w:top w:val="nil"/>
              <w:left w:val="single" w:sz="4" w:space="0" w:color="auto"/>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lang w:val="en-US" w:eastAsia="el-GR"/>
              </w:rPr>
            </w:pPr>
            <w:r>
              <w:rPr>
                <w:rFonts w:ascii="Times New Roman" w:eastAsia="Times New Roman" w:hAnsi="Times New Roman" w:cs="Times New Roman"/>
                <w:lang w:val="en-US" w:eastAsia="el-GR"/>
              </w:rPr>
              <w:t>-193</w:t>
            </w:r>
          </w:p>
        </w:tc>
        <w:tc>
          <w:tcPr>
            <w:tcW w:w="932" w:type="dxa"/>
            <w:gridSpan w:val="2"/>
            <w:tcBorders>
              <w:top w:val="nil"/>
              <w:left w:val="single" w:sz="4" w:space="0" w:color="auto"/>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lang w:eastAsia="el-GR"/>
              </w:rPr>
            </w:pPr>
          </w:p>
        </w:tc>
      </w:tr>
      <w:tr>
        <w:trPr>
          <w:trHeight w:val="288"/>
          <w:jc w:val="center"/>
        </w:trPr>
        <w:tc>
          <w:tcPr>
            <w:tcW w:w="4291" w:type="dxa"/>
            <w:tcBorders>
              <w:top w:val="nil"/>
              <w:left w:val="single" w:sz="4" w:space="0" w:color="auto"/>
              <w:bottom w:val="single" w:sz="4" w:space="0" w:color="auto"/>
              <w:right w:val="single" w:sz="4" w:space="0" w:color="auto"/>
            </w:tcBorders>
            <w:noWrap/>
            <w:vAlign w:val="bottom"/>
          </w:tcPr>
          <w:p>
            <w:pPr>
              <w:spacing w:after="0"/>
              <w:rPr>
                <w:rFonts w:ascii="Times New Roman" w:eastAsia="Times New Roman" w:hAnsi="Times New Roman" w:cs="Times New Roman"/>
                <w:lang w:eastAsia="el-GR"/>
              </w:rPr>
            </w:pPr>
            <w:r>
              <w:rPr>
                <w:rFonts w:ascii="Times New Roman" w:eastAsia="Times New Roman" w:hAnsi="Times New Roman" w:cs="Times New Roman"/>
                <w:lang w:eastAsia="el-GR"/>
              </w:rPr>
              <w:t>ΕΓΚΥΡΑ</w:t>
            </w:r>
          </w:p>
        </w:tc>
        <w:tc>
          <w:tcPr>
            <w:tcW w:w="767" w:type="dxa"/>
            <w:tcBorders>
              <w:top w:val="nil"/>
              <w:left w:val="nil"/>
              <w:bottom w:val="single" w:sz="4" w:space="0" w:color="auto"/>
              <w:right w:val="single" w:sz="4" w:space="0" w:color="auto"/>
            </w:tcBorders>
            <w:noWrap/>
            <w:vAlign w:val="bottom"/>
          </w:tcPr>
          <w:p>
            <w:pPr>
              <w:spacing w:after="0"/>
              <w:jc w:val="right"/>
              <w:rPr>
                <w:rFonts w:ascii="Times New Roman" w:eastAsia="Times New Roman" w:hAnsi="Times New Roman" w:cs="Times New Roman"/>
                <w:lang w:eastAsia="el-GR"/>
              </w:rPr>
            </w:pPr>
            <w:r>
              <w:rPr>
                <w:rFonts w:ascii="Times New Roman" w:eastAsia="Times New Roman" w:hAnsi="Times New Roman" w:cs="Times New Roman"/>
                <w:lang w:eastAsia="el-GR"/>
              </w:rPr>
              <w:t>4</w:t>
            </w:r>
            <w:r>
              <w:rPr>
                <w:rFonts w:ascii="Times New Roman" w:eastAsia="Times New Roman" w:hAnsi="Times New Roman" w:cs="Times New Roman"/>
                <w:lang w:val="en-US" w:eastAsia="el-GR"/>
              </w:rPr>
              <w:t>.</w:t>
            </w:r>
            <w:r>
              <w:rPr>
                <w:rFonts w:ascii="Times New Roman" w:eastAsia="Times New Roman" w:hAnsi="Times New Roman" w:cs="Times New Roman"/>
                <w:lang w:eastAsia="el-GR"/>
              </w:rPr>
              <w:t>411</w:t>
            </w:r>
          </w:p>
        </w:tc>
        <w:tc>
          <w:tcPr>
            <w:tcW w:w="738" w:type="dxa"/>
            <w:tcBorders>
              <w:top w:val="nil"/>
              <w:left w:val="single" w:sz="4" w:space="0" w:color="auto"/>
              <w:bottom w:val="single" w:sz="4" w:space="0" w:color="auto"/>
              <w:right w:val="single" w:sz="4" w:space="0" w:color="auto"/>
            </w:tcBorders>
            <w:shd w:val="clear" w:color="auto" w:fill="auto"/>
            <w:noWrap/>
            <w:vAlign w:val="center"/>
          </w:tcPr>
          <w:p>
            <w:pPr>
              <w:spacing w:after="0"/>
              <w:jc w:val="center"/>
              <w:rPr>
                <w:rFonts w:ascii="Times New Roman" w:eastAsia="Times New Roman" w:hAnsi="Times New Roman" w:cs="Times New Roman"/>
                <w:lang w:eastAsia="el-GR"/>
              </w:rPr>
            </w:pPr>
          </w:p>
        </w:tc>
        <w:tc>
          <w:tcPr>
            <w:tcW w:w="905" w:type="dxa"/>
            <w:tcBorders>
              <w:top w:val="nil"/>
              <w:left w:val="nil"/>
              <w:bottom w:val="single" w:sz="4" w:space="0" w:color="auto"/>
              <w:right w:val="single" w:sz="4" w:space="0" w:color="auto"/>
            </w:tcBorders>
            <w:noWrap/>
            <w:vAlign w:val="center"/>
          </w:tcPr>
          <w:p>
            <w:pPr>
              <w:spacing w:after="0"/>
              <w:jc w:val="right"/>
              <w:rPr>
                <w:rFonts w:ascii="Times New Roman" w:eastAsia="Times New Roman" w:hAnsi="Times New Roman" w:cs="Times New Roman"/>
                <w:lang w:val="en-US" w:eastAsia="el-GR"/>
              </w:rPr>
            </w:pPr>
            <w:r>
              <w:rPr>
                <w:rFonts w:ascii="Times New Roman" w:eastAsia="Times New Roman" w:hAnsi="Times New Roman" w:cs="Times New Roman"/>
                <w:lang w:val="en-US" w:eastAsia="el-GR"/>
              </w:rPr>
              <w:t>4.856</w:t>
            </w:r>
          </w:p>
        </w:tc>
        <w:tc>
          <w:tcPr>
            <w:tcW w:w="904"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lang w:eastAsia="el-GR"/>
              </w:rPr>
            </w:pPr>
          </w:p>
        </w:tc>
        <w:tc>
          <w:tcPr>
            <w:tcW w:w="997" w:type="dxa"/>
            <w:tcBorders>
              <w:top w:val="nil"/>
              <w:left w:val="single" w:sz="4" w:space="0" w:color="auto"/>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lang w:val="en-US" w:eastAsia="el-GR"/>
              </w:rPr>
            </w:pPr>
            <w:r>
              <w:rPr>
                <w:rFonts w:ascii="Times New Roman" w:eastAsia="Times New Roman" w:hAnsi="Times New Roman" w:cs="Times New Roman"/>
                <w:lang w:val="en-US" w:eastAsia="el-GR"/>
              </w:rPr>
              <w:t>-445</w:t>
            </w:r>
          </w:p>
        </w:tc>
        <w:tc>
          <w:tcPr>
            <w:tcW w:w="932" w:type="dxa"/>
            <w:gridSpan w:val="2"/>
            <w:tcBorders>
              <w:top w:val="nil"/>
              <w:left w:val="single" w:sz="4" w:space="0" w:color="auto"/>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lang w:eastAsia="el-GR"/>
              </w:rPr>
            </w:pPr>
          </w:p>
        </w:tc>
      </w:tr>
      <w:tr>
        <w:trPr>
          <w:trHeight w:val="288"/>
          <w:jc w:val="center"/>
        </w:trPr>
        <w:tc>
          <w:tcPr>
            <w:tcW w:w="4291" w:type="dxa"/>
            <w:tcBorders>
              <w:top w:val="nil"/>
              <w:left w:val="single" w:sz="4" w:space="0" w:color="auto"/>
              <w:bottom w:val="single" w:sz="4" w:space="0" w:color="auto"/>
              <w:right w:val="single" w:sz="4" w:space="0" w:color="auto"/>
            </w:tcBorders>
            <w:noWrap/>
            <w:vAlign w:val="bottom"/>
          </w:tcPr>
          <w:p>
            <w:pPr>
              <w:spacing w:after="0"/>
              <w:rPr>
                <w:rFonts w:ascii="Times New Roman" w:eastAsia="Times New Roman" w:hAnsi="Times New Roman" w:cs="Times New Roman"/>
                <w:b/>
                <w:bCs/>
                <w:lang w:eastAsia="el-GR"/>
              </w:rPr>
            </w:pPr>
            <w:r>
              <w:rPr>
                <w:rFonts w:ascii="Times New Roman" w:eastAsia="Times New Roman" w:hAnsi="Times New Roman" w:cs="Times New Roman"/>
                <w:b/>
                <w:bCs/>
                <w:lang w:eastAsia="el-GR"/>
              </w:rPr>
              <w:t>Ε.Α.Κ.Π.</w:t>
            </w:r>
          </w:p>
        </w:tc>
        <w:tc>
          <w:tcPr>
            <w:tcW w:w="767" w:type="dxa"/>
            <w:tcBorders>
              <w:top w:val="nil"/>
              <w:left w:val="nil"/>
              <w:bottom w:val="single" w:sz="4" w:space="0" w:color="auto"/>
              <w:right w:val="single" w:sz="4" w:space="0" w:color="auto"/>
            </w:tcBorders>
            <w:noWrap/>
            <w:vAlign w:val="bottom"/>
          </w:tcPr>
          <w:p>
            <w:pPr>
              <w:spacing w:after="0"/>
              <w:jc w:val="right"/>
              <w:rPr>
                <w:rFonts w:ascii="Times New Roman" w:eastAsia="Times New Roman" w:hAnsi="Times New Roman" w:cs="Times New Roman"/>
                <w:b/>
                <w:bCs/>
                <w:lang w:eastAsia="el-GR"/>
              </w:rPr>
            </w:pPr>
            <w:r>
              <w:rPr>
                <w:rFonts w:ascii="Times New Roman" w:eastAsia="Times New Roman" w:hAnsi="Times New Roman" w:cs="Times New Roman"/>
                <w:b/>
                <w:bCs/>
                <w:lang w:eastAsia="el-GR"/>
              </w:rPr>
              <w:t>479</w:t>
            </w:r>
          </w:p>
        </w:tc>
        <w:tc>
          <w:tcPr>
            <w:tcW w:w="738" w:type="dxa"/>
            <w:tcBorders>
              <w:top w:val="nil"/>
              <w:left w:val="single" w:sz="4" w:space="0" w:color="auto"/>
              <w:bottom w:val="single" w:sz="4" w:space="0" w:color="auto"/>
              <w:right w:val="single" w:sz="4" w:space="0" w:color="auto"/>
            </w:tcBorders>
            <w:shd w:val="clear" w:color="auto" w:fill="auto"/>
            <w:noWrap/>
            <w:vAlign w:val="center"/>
          </w:tcPr>
          <w:p>
            <w:pPr>
              <w:spacing w:after="0"/>
              <w:jc w:val="center"/>
              <w:rPr>
                <w:rFonts w:ascii="Times New Roman" w:eastAsia="Times New Roman" w:hAnsi="Times New Roman" w:cs="Times New Roman"/>
                <w:b/>
                <w:bCs/>
                <w:lang w:eastAsia="el-GR"/>
              </w:rPr>
            </w:pPr>
            <w:r>
              <w:rPr>
                <w:rFonts w:ascii="Times New Roman" w:eastAsia="Times New Roman" w:hAnsi="Times New Roman" w:cs="Times New Roman"/>
                <w:b/>
                <w:bCs/>
                <w:lang w:eastAsia="el-GR"/>
              </w:rPr>
              <w:t>11,20</w:t>
            </w:r>
          </w:p>
        </w:tc>
        <w:tc>
          <w:tcPr>
            <w:tcW w:w="905"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436</w:t>
            </w:r>
          </w:p>
        </w:tc>
        <w:tc>
          <w:tcPr>
            <w:tcW w:w="904" w:type="dxa"/>
            <w:tcBorders>
              <w:top w:val="nil"/>
              <w:left w:val="nil"/>
              <w:bottom w:val="single" w:sz="4" w:space="0" w:color="auto"/>
              <w:right w:val="single" w:sz="4" w:space="0" w:color="auto"/>
            </w:tcBorders>
            <w:shd w:val="clear" w:color="auto" w:fill="auto"/>
            <w:noWrap/>
            <w:vAlign w:val="center"/>
          </w:tcPr>
          <w:p>
            <w:pPr>
              <w:spacing w:after="0"/>
              <w:jc w:val="right"/>
              <w:rPr>
                <w:rFonts w:ascii="Times New Roman" w:eastAsia="Times New Roman" w:hAnsi="Times New Roman" w:cs="Times New Roman"/>
                <w:b/>
                <w:bCs/>
                <w:sz w:val="24"/>
                <w:szCs w:val="24"/>
                <w:lang w:val="en-US" w:eastAsia="el-GR"/>
              </w:rPr>
            </w:pPr>
            <w:r>
              <w:rPr>
                <w:rFonts w:ascii="Times New Roman" w:eastAsia="Times New Roman" w:hAnsi="Times New Roman" w:cs="Times New Roman"/>
                <w:b/>
                <w:bCs/>
                <w:sz w:val="24"/>
                <w:szCs w:val="24"/>
                <w:lang w:eastAsia="el-GR"/>
              </w:rPr>
              <w:t>8,9</w:t>
            </w:r>
            <w:r>
              <w:rPr>
                <w:rFonts w:ascii="Times New Roman" w:eastAsia="Times New Roman" w:hAnsi="Times New Roman" w:cs="Times New Roman"/>
                <w:b/>
                <w:bCs/>
                <w:sz w:val="24"/>
                <w:szCs w:val="24"/>
                <w:lang w:val="en-US" w:eastAsia="el-GR"/>
              </w:rPr>
              <w:t>8</w:t>
            </w:r>
          </w:p>
        </w:tc>
        <w:tc>
          <w:tcPr>
            <w:tcW w:w="997" w:type="dxa"/>
            <w:tcBorders>
              <w:top w:val="nil"/>
              <w:left w:val="single" w:sz="4" w:space="0" w:color="auto"/>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b/>
                <w:bCs/>
                <w:lang w:val="en-US" w:eastAsia="el-GR"/>
              </w:rPr>
            </w:pPr>
            <w:r>
              <w:rPr>
                <w:rFonts w:ascii="Times New Roman" w:eastAsia="Times New Roman" w:hAnsi="Times New Roman" w:cs="Times New Roman"/>
                <w:b/>
                <w:bCs/>
                <w:lang w:val="en-US" w:eastAsia="el-GR"/>
              </w:rPr>
              <w:t>+43</w:t>
            </w:r>
          </w:p>
        </w:tc>
        <w:tc>
          <w:tcPr>
            <w:tcW w:w="932" w:type="dxa"/>
            <w:gridSpan w:val="2"/>
            <w:tcBorders>
              <w:top w:val="nil"/>
              <w:left w:val="single" w:sz="4" w:space="0" w:color="auto"/>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b/>
                <w:bCs/>
                <w:lang w:eastAsia="el-GR"/>
              </w:rPr>
            </w:pPr>
            <w:r>
              <w:rPr>
                <w:rFonts w:ascii="Times New Roman" w:eastAsia="Times New Roman" w:hAnsi="Times New Roman" w:cs="Times New Roman"/>
                <w:b/>
                <w:bCs/>
                <w:lang w:val="en-US" w:eastAsia="el-GR"/>
              </w:rPr>
              <w:t>+2,22</w:t>
            </w:r>
          </w:p>
        </w:tc>
      </w:tr>
      <w:tr>
        <w:trPr>
          <w:trHeight w:val="288"/>
          <w:jc w:val="center"/>
        </w:trPr>
        <w:tc>
          <w:tcPr>
            <w:tcW w:w="4291" w:type="dxa"/>
            <w:tcBorders>
              <w:top w:val="nil"/>
              <w:left w:val="single" w:sz="4" w:space="0" w:color="auto"/>
              <w:bottom w:val="single" w:sz="4" w:space="0" w:color="auto"/>
              <w:right w:val="single" w:sz="4" w:space="0" w:color="auto"/>
            </w:tcBorders>
            <w:noWrap/>
            <w:vAlign w:val="bottom"/>
          </w:tcPr>
          <w:p>
            <w:pPr>
              <w:spacing w:after="0"/>
              <w:rPr>
                <w:rFonts w:ascii="Times New Roman" w:eastAsia="Times New Roman" w:hAnsi="Times New Roman" w:cs="Times New Roman"/>
                <w:lang w:eastAsia="el-GR"/>
              </w:rPr>
            </w:pPr>
            <w:r>
              <w:rPr>
                <w:rFonts w:ascii="Times New Roman" w:eastAsia="Times New Roman" w:hAnsi="Times New Roman" w:cs="Times New Roman"/>
                <w:lang w:eastAsia="el-GR"/>
              </w:rPr>
              <w:t>Δ.Α.Κ.Υ.Π.Σ.</w:t>
            </w:r>
          </w:p>
        </w:tc>
        <w:tc>
          <w:tcPr>
            <w:tcW w:w="767" w:type="dxa"/>
            <w:tcBorders>
              <w:top w:val="nil"/>
              <w:left w:val="nil"/>
              <w:bottom w:val="single" w:sz="4" w:space="0" w:color="auto"/>
              <w:right w:val="single" w:sz="4" w:space="0" w:color="auto"/>
            </w:tcBorders>
            <w:noWrap/>
            <w:vAlign w:val="bottom"/>
          </w:tcPr>
          <w:p>
            <w:pPr>
              <w:spacing w:after="0"/>
              <w:jc w:val="right"/>
              <w:rPr>
                <w:rFonts w:ascii="Times New Roman" w:eastAsia="Times New Roman" w:hAnsi="Times New Roman" w:cs="Times New Roman"/>
                <w:lang w:eastAsia="el-GR"/>
              </w:rPr>
            </w:pPr>
            <w:r>
              <w:rPr>
                <w:rFonts w:ascii="Times New Roman" w:eastAsia="Times New Roman" w:hAnsi="Times New Roman" w:cs="Times New Roman"/>
                <w:lang w:eastAsia="el-GR"/>
              </w:rPr>
              <w:t>1</w:t>
            </w:r>
            <w:r>
              <w:rPr>
                <w:rFonts w:ascii="Times New Roman" w:eastAsia="Times New Roman" w:hAnsi="Times New Roman" w:cs="Times New Roman"/>
                <w:lang w:val="en-US" w:eastAsia="el-GR"/>
              </w:rPr>
              <w:t>.</w:t>
            </w:r>
            <w:r>
              <w:rPr>
                <w:rFonts w:ascii="Times New Roman" w:eastAsia="Times New Roman" w:hAnsi="Times New Roman" w:cs="Times New Roman"/>
                <w:lang w:eastAsia="el-GR"/>
              </w:rPr>
              <w:t>895</w:t>
            </w:r>
          </w:p>
        </w:tc>
        <w:tc>
          <w:tcPr>
            <w:tcW w:w="738" w:type="dxa"/>
            <w:tcBorders>
              <w:top w:val="nil"/>
              <w:left w:val="single" w:sz="4" w:space="0" w:color="auto"/>
              <w:bottom w:val="single" w:sz="4" w:space="0" w:color="auto"/>
              <w:right w:val="single" w:sz="4" w:space="0" w:color="auto"/>
            </w:tcBorders>
            <w:shd w:val="clear" w:color="auto" w:fill="auto"/>
            <w:noWrap/>
            <w:vAlign w:val="center"/>
          </w:tcPr>
          <w:p>
            <w:pPr>
              <w:spacing w:after="0"/>
              <w:jc w:val="center"/>
              <w:rPr>
                <w:rFonts w:ascii="Times New Roman" w:eastAsia="Times New Roman" w:hAnsi="Times New Roman" w:cs="Times New Roman"/>
                <w:lang w:eastAsia="el-GR"/>
              </w:rPr>
            </w:pPr>
            <w:r>
              <w:rPr>
                <w:rFonts w:ascii="Times New Roman" w:eastAsia="Times New Roman" w:hAnsi="Times New Roman" w:cs="Times New Roman"/>
                <w:lang w:eastAsia="el-GR"/>
              </w:rPr>
              <w:t>44,</w:t>
            </w:r>
            <w:r>
              <w:rPr>
                <w:rFonts w:ascii="Times New Roman" w:eastAsia="Times New Roman" w:hAnsi="Times New Roman" w:cs="Times New Roman"/>
                <w:lang w:val="en-US" w:eastAsia="el-GR"/>
              </w:rPr>
              <w:t>32</w:t>
            </w:r>
          </w:p>
        </w:tc>
        <w:tc>
          <w:tcPr>
            <w:tcW w:w="905" w:type="dxa"/>
            <w:tcBorders>
              <w:top w:val="nil"/>
              <w:left w:val="nil"/>
              <w:bottom w:val="single" w:sz="4" w:space="0" w:color="auto"/>
              <w:right w:val="single" w:sz="4" w:space="0" w:color="auto"/>
            </w:tcBorders>
            <w:noWrap/>
            <w:vAlign w:val="center"/>
          </w:tcPr>
          <w:p>
            <w:pPr>
              <w:spacing w:after="0"/>
              <w:jc w:val="right"/>
              <w:rPr>
                <w:rFonts w:ascii="Times New Roman" w:eastAsia="Times New Roman" w:hAnsi="Times New Roman" w:cs="Times New Roman"/>
                <w:lang w:val="en-US" w:eastAsia="el-GR"/>
              </w:rPr>
            </w:pPr>
            <w:r>
              <w:rPr>
                <w:rFonts w:ascii="Times New Roman" w:eastAsia="Times New Roman" w:hAnsi="Times New Roman" w:cs="Times New Roman"/>
                <w:lang w:val="en-US" w:eastAsia="el-GR"/>
              </w:rPr>
              <w:t>1.985</w:t>
            </w:r>
          </w:p>
        </w:tc>
        <w:tc>
          <w:tcPr>
            <w:tcW w:w="904" w:type="dxa"/>
            <w:tcBorders>
              <w:top w:val="nil"/>
              <w:left w:val="nil"/>
              <w:bottom w:val="single" w:sz="4" w:space="0" w:color="auto"/>
              <w:right w:val="single" w:sz="4" w:space="0" w:color="auto"/>
            </w:tcBorders>
            <w:noWrap/>
            <w:vAlign w:val="bottom"/>
          </w:tcPr>
          <w:p>
            <w:pPr>
              <w:spacing w:after="0"/>
              <w:jc w:val="right"/>
              <w:rPr>
                <w:rFonts w:ascii="Times New Roman" w:eastAsia="Times New Roman" w:hAnsi="Times New Roman" w:cs="Times New Roman"/>
                <w:lang w:val="en-US" w:eastAsia="el-GR"/>
              </w:rPr>
            </w:pPr>
            <w:r>
              <w:rPr>
                <w:rFonts w:ascii="Times New Roman" w:eastAsia="Times New Roman" w:hAnsi="Times New Roman" w:cs="Times New Roman"/>
                <w:lang w:val="en-US" w:eastAsia="el-GR"/>
              </w:rPr>
              <w:t>40,88</w:t>
            </w:r>
          </w:p>
        </w:tc>
        <w:tc>
          <w:tcPr>
            <w:tcW w:w="997" w:type="dxa"/>
            <w:tcBorders>
              <w:top w:val="nil"/>
              <w:left w:val="single" w:sz="4" w:space="0" w:color="auto"/>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lang w:val="en-US" w:eastAsia="el-GR"/>
              </w:rPr>
            </w:pPr>
            <w:r>
              <w:rPr>
                <w:rFonts w:ascii="Times New Roman" w:eastAsia="Times New Roman" w:hAnsi="Times New Roman" w:cs="Times New Roman"/>
                <w:lang w:val="en-US" w:eastAsia="el-GR"/>
              </w:rPr>
              <w:t>-90</w:t>
            </w:r>
          </w:p>
        </w:tc>
        <w:tc>
          <w:tcPr>
            <w:tcW w:w="932" w:type="dxa"/>
            <w:gridSpan w:val="2"/>
            <w:tcBorders>
              <w:top w:val="nil"/>
              <w:left w:val="single" w:sz="4" w:space="0" w:color="auto"/>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lang w:val="en-US" w:eastAsia="el-GR"/>
              </w:rPr>
            </w:pPr>
            <w:r>
              <w:rPr>
                <w:rFonts w:ascii="Times New Roman" w:eastAsia="Times New Roman" w:hAnsi="Times New Roman" w:cs="Times New Roman"/>
                <w:lang w:val="en-US" w:eastAsia="el-GR"/>
              </w:rPr>
              <w:t>+3,44</w:t>
            </w:r>
          </w:p>
        </w:tc>
      </w:tr>
      <w:tr>
        <w:trPr>
          <w:trHeight w:val="288"/>
          <w:jc w:val="center"/>
        </w:trPr>
        <w:tc>
          <w:tcPr>
            <w:tcW w:w="4291" w:type="dxa"/>
            <w:tcBorders>
              <w:top w:val="nil"/>
              <w:left w:val="single" w:sz="4" w:space="0" w:color="auto"/>
              <w:bottom w:val="single" w:sz="12" w:space="0" w:color="auto"/>
              <w:right w:val="single" w:sz="4" w:space="0" w:color="auto"/>
            </w:tcBorders>
            <w:noWrap/>
            <w:vAlign w:val="bottom"/>
          </w:tcPr>
          <w:p>
            <w:pPr>
              <w:spacing w:after="0"/>
              <w:rPr>
                <w:rFonts w:ascii="Times New Roman" w:eastAsia="Times New Roman" w:hAnsi="Times New Roman" w:cs="Times New Roman"/>
                <w:lang w:eastAsia="el-GR"/>
              </w:rPr>
            </w:pPr>
            <w:r>
              <w:rPr>
                <w:rFonts w:ascii="Times New Roman" w:eastAsia="Times New Roman" w:hAnsi="Times New Roman" w:cs="Times New Roman"/>
                <w:lang w:eastAsia="el-GR"/>
              </w:rPr>
              <w:t xml:space="preserve">ΟΛΟΙ ΜΑΖΙ +ΠΟΠΥΣΥΠ +ΑΕΠΠ+ΠΑΚ Π </w:t>
            </w:r>
          </w:p>
        </w:tc>
        <w:tc>
          <w:tcPr>
            <w:tcW w:w="767" w:type="dxa"/>
            <w:tcBorders>
              <w:top w:val="nil"/>
              <w:left w:val="nil"/>
              <w:bottom w:val="single" w:sz="12" w:space="0" w:color="auto"/>
              <w:right w:val="single" w:sz="4" w:space="0" w:color="auto"/>
            </w:tcBorders>
            <w:noWrap/>
            <w:vAlign w:val="bottom"/>
          </w:tcPr>
          <w:p>
            <w:pPr>
              <w:spacing w:after="0"/>
              <w:jc w:val="right"/>
              <w:rPr>
                <w:rFonts w:ascii="Times New Roman" w:eastAsia="Times New Roman" w:hAnsi="Times New Roman" w:cs="Times New Roman"/>
                <w:lang w:val="en-US" w:eastAsia="el-GR"/>
              </w:rPr>
            </w:pPr>
            <w:r>
              <w:rPr>
                <w:rFonts w:ascii="Times New Roman" w:eastAsia="Times New Roman" w:hAnsi="Times New Roman" w:cs="Times New Roman"/>
                <w:lang w:val="en-US" w:eastAsia="el-GR"/>
              </w:rPr>
              <w:t>1.902</w:t>
            </w:r>
          </w:p>
        </w:tc>
        <w:tc>
          <w:tcPr>
            <w:tcW w:w="738" w:type="dxa"/>
            <w:tcBorders>
              <w:top w:val="nil"/>
              <w:left w:val="single" w:sz="4" w:space="0" w:color="auto"/>
              <w:bottom w:val="single" w:sz="12" w:space="0" w:color="auto"/>
              <w:right w:val="single" w:sz="4" w:space="0" w:color="auto"/>
            </w:tcBorders>
            <w:shd w:val="clear" w:color="auto" w:fill="auto"/>
            <w:noWrap/>
            <w:vAlign w:val="center"/>
          </w:tcPr>
          <w:p>
            <w:pPr>
              <w:spacing w:after="0"/>
              <w:jc w:val="center"/>
              <w:rPr>
                <w:rFonts w:ascii="Times New Roman" w:eastAsia="Times New Roman" w:hAnsi="Times New Roman" w:cs="Times New Roman"/>
                <w:lang w:val="en-US" w:eastAsia="el-GR"/>
              </w:rPr>
            </w:pPr>
            <w:r>
              <w:rPr>
                <w:rFonts w:ascii="Times New Roman" w:eastAsia="Times New Roman" w:hAnsi="Times New Roman" w:cs="Times New Roman"/>
                <w:lang w:val="en-US" w:eastAsia="el-GR"/>
              </w:rPr>
              <w:t>44,48</w:t>
            </w:r>
          </w:p>
        </w:tc>
        <w:tc>
          <w:tcPr>
            <w:tcW w:w="905" w:type="dxa"/>
            <w:tcBorders>
              <w:top w:val="nil"/>
              <w:left w:val="nil"/>
              <w:bottom w:val="single" w:sz="12" w:space="0" w:color="auto"/>
              <w:right w:val="single" w:sz="4" w:space="0" w:color="auto"/>
            </w:tcBorders>
            <w:noWrap/>
            <w:vAlign w:val="center"/>
          </w:tcPr>
          <w:p>
            <w:pPr>
              <w:spacing w:after="0"/>
              <w:jc w:val="center"/>
              <w:rPr>
                <w:rFonts w:ascii="Times New Roman" w:eastAsia="Times New Roman" w:hAnsi="Times New Roman" w:cs="Times New Roman"/>
                <w:lang w:val="en-US" w:eastAsia="el-GR"/>
              </w:rPr>
            </w:pPr>
            <w:r>
              <w:rPr>
                <w:rFonts w:ascii="Times New Roman" w:eastAsia="Times New Roman" w:hAnsi="Times New Roman" w:cs="Times New Roman"/>
                <w:lang w:val="en-US" w:eastAsia="el-GR"/>
              </w:rPr>
              <w:t xml:space="preserve"> *2.435</w:t>
            </w:r>
          </w:p>
        </w:tc>
        <w:tc>
          <w:tcPr>
            <w:tcW w:w="904" w:type="dxa"/>
            <w:tcBorders>
              <w:top w:val="nil"/>
              <w:left w:val="nil"/>
              <w:bottom w:val="single" w:sz="12" w:space="0" w:color="auto"/>
              <w:right w:val="single" w:sz="4" w:space="0" w:color="auto"/>
            </w:tcBorders>
            <w:noWrap/>
            <w:vAlign w:val="bottom"/>
          </w:tcPr>
          <w:p>
            <w:pPr>
              <w:spacing w:after="0"/>
              <w:jc w:val="right"/>
              <w:rPr>
                <w:rFonts w:ascii="Times New Roman" w:eastAsia="Times New Roman" w:hAnsi="Times New Roman" w:cs="Times New Roman"/>
                <w:lang w:val="en-US" w:eastAsia="el-GR"/>
              </w:rPr>
            </w:pPr>
            <w:r>
              <w:rPr>
                <w:rFonts w:ascii="Times New Roman" w:eastAsia="Times New Roman" w:hAnsi="Times New Roman" w:cs="Times New Roman"/>
                <w:lang w:val="en-US" w:eastAsia="el-GR"/>
              </w:rPr>
              <w:t>*50,14</w:t>
            </w:r>
          </w:p>
        </w:tc>
        <w:tc>
          <w:tcPr>
            <w:tcW w:w="997" w:type="dxa"/>
            <w:tcBorders>
              <w:top w:val="nil"/>
              <w:left w:val="single" w:sz="4" w:space="0" w:color="auto"/>
              <w:bottom w:val="single" w:sz="12"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lang w:val="en-US" w:eastAsia="el-GR"/>
              </w:rPr>
            </w:pPr>
            <w:r>
              <w:rPr>
                <w:rFonts w:ascii="Times New Roman" w:eastAsia="Times New Roman" w:hAnsi="Times New Roman" w:cs="Times New Roman"/>
                <w:lang w:val="en-US" w:eastAsia="el-GR"/>
              </w:rPr>
              <w:t>-533</w:t>
            </w:r>
          </w:p>
        </w:tc>
        <w:tc>
          <w:tcPr>
            <w:tcW w:w="932" w:type="dxa"/>
            <w:gridSpan w:val="2"/>
            <w:tcBorders>
              <w:top w:val="nil"/>
              <w:left w:val="single" w:sz="4" w:space="0" w:color="auto"/>
              <w:bottom w:val="single" w:sz="12"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lang w:val="en-US" w:eastAsia="el-GR"/>
              </w:rPr>
            </w:pPr>
            <w:r>
              <w:rPr>
                <w:rFonts w:ascii="Times New Roman" w:eastAsia="Times New Roman" w:hAnsi="Times New Roman" w:cs="Times New Roman"/>
                <w:lang w:val="en-US" w:eastAsia="el-GR"/>
              </w:rPr>
              <w:t>-5,66</w:t>
            </w:r>
          </w:p>
        </w:tc>
      </w:tr>
      <w:tr>
        <w:trPr>
          <w:trHeight w:val="288"/>
          <w:jc w:val="center"/>
        </w:trPr>
        <w:tc>
          <w:tcPr>
            <w:tcW w:w="4291" w:type="dxa"/>
            <w:tcBorders>
              <w:top w:val="single" w:sz="12" w:space="0" w:color="auto"/>
              <w:left w:val="single" w:sz="4" w:space="0" w:color="auto"/>
              <w:bottom w:val="single" w:sz="4" w:space="0" w:color="auto"/>
              <w:right w:val="single" w:sz="4" w:space="0" w:color="auto"/>
            </w:tcBorders>
            <w:noWrap/>
            <w:vAlign w:val="bottom"/>
          </w:tcPr>
          <w:p>
            <w:pPr>
              <w:spacing w:after="0"/>
              <w:rPr>
                <w:rFonts w:ascii="Times New Roman" w:eastAsia="Times New Roman" w:hAnsi="Times New Roman" w:cs="Times New Roman"/>
                <w:lang w:val="en-US" w:eastAsia="el-GR"/>
              </w:rPr>
            </w:pPr>
            <w:r>
              <w:rPr>
                <w:rFonts w:ascii="Times New Roman" w:eastAsia="Times New Roman" w:hAnsi="Times New Roman" w:cs="Times New Roman"/>
                <w:lang w:eastAsia="el-GR"/>
              </w:rPr>
              <w:t>ΟΛΟΙ</w:t>
            </w:r>
            <w:r>
              <w:rPr>
                <w:rFonts w:ascii="Times New Roman" w:eastAsia="Times New Roman" w:hAnsi="Times New Roman" w:cs="Times New Roman"/>
                <w:lang w:val="en-US" w:eastAsia="el-GR"/>
              </w:rPr>
              <w:t xml:space="preserve"> ΜΑΖΙ </w:t>
            </w:r>
          </w:p>
        </w:tc>
        <w:tc>
          <w:tcPr>
            <w:tcW w:w="767" w:type="dxa"/>
            <w:tcBorders>
              <w:top w:val="single" w:sz="12" w:space="0" w:color="auto"/>
              <w:left w:val="nil"/>
              <w:bottom w:val="single" w:sz="4" w:space="0" w:color="auto"/>
              <w:right w:val="single" w:sz="4" w:space="0" w:color="auto"/>
            </w:tcBorders>
            <w:noWrap/>
            <w:vAlign w:val="bottom"/>
          </w:tcPr>
          <w:p>
            <w:pPr>
              <w:spacing w:after="0"/>
              <w:jc w:val="center"/>
              <w:rPr>
                <w:rFonts w:ascii="Times New Roman" w:eastAsia="Times New Roman" w:hAnsi="Times New Roman" w:cs="Times New Roman"/>
                <w:lang w:val="en-US" w:eastAsia="el-GR"/>
              </w:rPr>
            </w:pPr>
            <w:r>
              <w:rPr>
                <w:rFonts w:ascii="Times New Roman" w:eastAsia="Times New Roman" w:hAnsi="Times New Roman" w:cs="Times New Roman"/>
                <w:lang w:val="en-US" w:eastAsia="el-GR"/>
              </w:rPr>
              <w:t>-</w:t>
            </w:r>
          </w:p>
        </w:tc>
        <w:tc>
          <w:tcPr>
            <w:tcW w:w="738" w:type="dxa"/>
            <w:tcBorders>
              <w:top w:val="single" w:sz="12" w:space="0" w:color="auto"/>
              <w:left w:val="single" w:sz="4" w:space="0" w:color="auto"/>
              <w:bottom w:val="single" w:sz="4" w:space="0" w:color="auto"/>
              <w:right w:val="single" w:sz="4" w:space="0" w:color="auto"/>
            </w:tcBorders>
            <w:shd w:val="clear" w:color="auto" w:fill="auto"/>
            <w:noWrap/>
            <w:vAlign w:val="center"/>
          </w:tcPr>
          <w:p>
            <w:pPr>
              <w:spacing w:after="0"/>
              <w:jc w:val="center"/>
              <w:rPr>
                <w:rFonts w:ascii="Times New Roman" w:eastAsia="Times New Roman" w:hAnsi="Times New Roman" w:cs="Times New Roman"/>
                <w:lang w:val="en-US" w:eastAsia="el-GR"/>
              </w:rPr>
            </w:pPr>
            <w:r>
              <w:rPr>
                <w:rFonts w:ascii="Times New Roman" w:eastAsia="Times New Roman" w:hAnsi="Times New Roman" w:cs="Times New Roman"/>
                <w:lang w:val="en-US" w:eastAsia="el-GR"/>
              </w:rPr>
              <w:t>-</w:t>
            </w:r>
          </w:p>
        </w:tc>
        <w:tc>
          <w:tcPr>
            <w:tcW w:w="905" w:type="dxa"/>
            <w:tcBorders>
              <w:top w:val="single" w:sz="12" w:space="0" w:color="auto"/>
              <w:left w:val="nil"/>
              <w:bottom w:val="single" w:sz="4" w:space="0" w:color="auto"/>
              <w:right w:val="single" w:sz="4" w:space="0" w:color="auto"/>
            </w:tcBorders>
            <w:noWrap/>
            <w:vAlign w:val="center"/>
          </w:tcPr>
          <w:p>
            <w:pPr>
              <w:spacing w:after="0"/>
              <w:jc w:val="right"/>
              <w:rPr>
                <w:rFonts w:ascii="Times New Roman" w:eastAsia="Times New Roman" w:hAnsi="Times New Roman" w:cs="Times New Roman"/>
                <w:lang w:val="en-US" w:eastAsia="el-GR"/>
              </w:rPr>
            </w:pPr>
            <w:r>
              <w:rPr>
                <w:rFonts w:ascii="Times New Roman" w:eastAsia="Times New Roman" w:hAnsi="Times New Roman" w:cs="Times New Roman"/>
                <w:lang w:val="en-US" w:eastAsia="el-GR"/>
              </w:rPr>
              <w:t>1.456</w:t>
            </w:r>
          </w:p>
        </w:tc>
        <w:tc>
          <w:tcPr>
            <w:tcW w:w="904" w:type="dxa"/>
            <w:tcBorders>
              <w:top w:val="single" w:sz="12" w:space="0" w:color="auto"/>
              <w:left w:val="nil"/>
              <w:bottom w:val="single" w:sz="4" w:space="0" w:color="auto"/>
              <w:right w:val="single" w:sz="4" w:space="0" w:color="auto"/>
            </w:tcBorders>
            <w:noWrap/>
            <w:vAlign w:val="bottom"/>
          </w:tcPr>
          <w:p>
            <w:pPr>
              <w:spacing w:after="0"/>
              <w:jc w:val="right"/>
              <w:rPr>
                <w:rFonts w:ascii="Times New Roman" w:eastAsia="Times New Roman" w:hAnsi="Times New Roman" w:cs="Times New Roman"/>
                <w:lang w:val="en-US" w:eastAsia="el-GR"/>
              </w:rPr>
            </w:pPr>
            <w:r>
              <w:rPr>
                <w:rFonts w:ascii="Times New Roman" w:eastAsia="Times New Roman" w:hAnsi="Times New Roman" w:cs="Times New Roman"/>
                <w:lang w:val="en-US" w:eastAsia="el-GR"/>
              </w:rPr>
              <w:t>29,98</w:t>
            </w:r>
          </w:p>
        </w:tc>
        <w:tc>
          <w:tcPr>
            <w:tcW w:w="997" w:type="dxa"/>
            <w:vMerge w:val="restart"/>
            <w:tcBorders>
              <w:top w:val="single" w:sz="12" w:space="0" w:color="auto"/>
              <w:left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lang w:eastAsia="el-GR"/>
              </w:rPr>
            </w:pPr>
          </w:p>
        </w:tc>
        <w:tc>
          <w:tcPr>
            <w:tcW w:w="485" w:type="dxa"/>
            <w:vMerge w:val="restart"/>
            <w:tcBorders>
              <w:top w:val="single" w:sz="12" w:space="0" w:color="auto"/>
              <w:left w:val="single" w:sz="4" w:space="0" w:color="auto"/>
              <w:right w:val="nil"/>
            </w:tcBorders>
            <w:shd w:val="clear" w:color="auto" w:fill="auto"/>
            <w:noWrap/>
            <w:vAlign w:val="bottom"/>
          </w:tcPr>
          <w:p>
            <w:pPr>
              <w:spacing w:after="0"/>
              <w:jc w:val="both"/>
              <w:rPr>
                <w:rFonts w:ascii="Times New Roman" w:eastAsia="Times New Roman" w:hAnsi="Times New Roman" w:cs="Times New Roman"/>
                <w:lang w:eastAsia="el-GR"/>
              </w:rPr>
            </w:pPr>
          </w:p>
        </w:tc>
        <w:tc>
          <w:tcPr>
            <w:tcW w:w="447" w:type="dxa"/>
            <w:vMerge w:val="restart"/>
            <w:tcBorders>
              <w:top w:val="single" w:sz="12" w:space="0" w:color="auto"/>
              <w:left w:val="nil"/>
              <w:right w:val="single" w:sz="4" w:space="0" w:color="auto"/>
            </w:tcBorders>
            <w:shd w:val="clear" w:color="auto" w:fill="auto"/>
            <w:noWrap/>
            <w:vAlign w:val="bottom"/>
          </w:tcPr>
          <w:p>
            <w:pPr>
              <w:spacing w:after="0"/>
              <w:jc w:val="both"/>
              <w:rPr>
                <w:rFonts w:ascii="Times New Roman" w:eastAsia="Times New Roman" w:hAnsi="Times New Roman" w:cs="Times New Roman"/>
                <w:lang w:val="en-US" w:eastAsia="el-GR"/>
              </w:rPr>
            </w:pPr>
          </w:p>
        </w:tc>
      </w:tr>
      <w:tr>
        <w:trPr>
          <w:trHeight w:val="288"/>
          <w:jc w:val="center"/>
        </w:trPr>
        <w:tc>
          <w:tcPr>
            <w:tcW w:w="4291" w:type="dxa"/>
            <w:tcBorders>
              <w:top w:val="nil"/>
              <w:left w:val="single" w:sz="4" w:space="0" w:color="auto"/>
              <w:bottom w:val="single" w:sz="4" w:space="0" w:color="auto"/>
              <w:right w:val="single" w:sz="4" w:space="0" w:color="auto"/>
            </w:tcBorders>
            <w:shd w:val="clear" w:color="auto" w:fill="auto"/>
            <w:noWrap/>
            <w:vAlign w:val="bottom"/>
          </w:tcPr>
          <w:p>
            <w:pPr>
              <w:spacing w:after="0"/>
              <w:rPr>
                <w:rFonts w:ascii="Times New Roman" w:eastAsia="Times New Roman" w:hAnsi="Times New Roman" w:cs="Times New Roman"/>
                <w:lang w:eastAsia="el-GR"/>
              </w:rPr>
            </w:pPr>
            <w:r>
              <w:rPr>
                <w:rFonts w:ascii="Times New Roman" w:eastAsia="Times New Roman" w:hAnsi="Times New Roman" w:cs="Times New Roman"/>
                <w:lang w:eastAsia="el-GR"/>
              </w:rPr>
              <w:t>ΣΥΜΠΑΡΑΤΑΞΗ</w:t>
            </w:r>
            <w:r>
              <w:rPr>
                <w:rFonts w:ascii="Times New Roman" w:eastAsia="Times New Roman" w:hAnsi="Times New Roman" w:cs="Times New Roman"/>
                <w:lang w:val="en-US" w:eastAsia="el-GR"/>
              </w:rPr>
              <w:t xml:space="preserve">  ΠΥΡ/ΣΤΩΝ </w:t>
            </w:r>
          </w:p>
        </w:tc>
        <w:tc>
          <w:tcPr>
            <w:tcW w:w="767" w:type="dxa"/>
            <w:tcBorders>
              <w:top w:val="nil"/>
              <w:left w:val="nil"/>
              <w:bottom w:val="single" w:sz="4" w:space="0" w:color="auto"/>
              <w:right w:val="single" w:sz="4" w:space="0" w:color="auto"/>
            </w:tcBorders>
            <w:shd w:val="clear" w:color="auto" w:fill="auto"/>
            <w:noWrap/>
            <w:vAlign w:val="bottom"/>
          </w:tcPr>
          <w:p>
            <w:pPr>
              <w:spacing w:after="0"/>
              <w:jc w:val="center"/>
              <w:rPr>
                <w:rFonts w:ascii="Times New Roman" w:eastAsia="Times New Roman" w:hAnsi="Times New Roman" w:cs="Times New Roman"/>
                <w:lang w:val="en-US" w:eastAsia="el-GR"/>
              </w:rPr>
            </w:pPr>
            <w:r>
              <w:rPr>
                <w:rFonts w:ascii="Times New Roman" w:eastAsia="Times New Roman" w:hAnsi="Times New Roman" w:cs="Times New Roman"/>
                <w:lang w:val="en-US" w:eastAsia="el-GR"/>
              </w:rPr>
              <w:t>-</w:t>
            </w:r>
          </w:p>
        </w:tc>
        <w:tc>
          <w:tcPr>
            <w:tcW w:w="738" w:type="dxa"/>
            <w:tcBorders>
              <w:top w:val="nil"/>
              <w:left w:val="single" w:sz="4" w:space="0" w:color="auto"/>
              <w:bottom w:val="single" w:sz="4" w:space="0" w:color="auto"/>
              <w:right w:val="single" w:sz="4" w:space="0" w:color="auto"/>
            </w:tcBorders>
            <w:shd w:val="clear" w:color="auto" w:fill="auto"/>
            <w:noWrap/>
            <w:vAlign w:val="center"/>
          </w:tcPr>
          <w:p>
            <w:pPr>
              <w:spacing w:after="0"/>
              <w:jc w:val="center"/>
              <w:rPr>
                <w:rFonts w:ascii="Times New Roman" w:eastAsia="Times New Roman" w:hAnsi="Times New Roman" w:cs="Times New Roman"/>
                <w:lang w:val="en-US" w:eastAsia="el-GR"/>
              </w:rPr>
            </w:pPr>
            <w:r>
              <w:rPr>
                <w:rFonts w:ascii="Times New Roman" w:eastAsia="Times New Roman" w:hAnsi="Times New Roman" w:cs="Times New Roman"/>
                <w:lang w:val="en-US" w:eastAsia="el-GR"/>
              </w:rPr>
              <w:t>-</w:t>
            </w:r>
          </w:p>
        </w:tc>
        <w:tc>
          <w:tcPr>
            <w:tcW w:w="905" w:type="dxa"/>
            <w:tcBorders>
              <w:top w:val="nil"/>
              <w:left w:val="nil"/>
              <w:bottom w:val="single" w:sz="4" w:space="0" w:color="auto"/>
              <w:right w:val="single" w:sz="4" w:space="0" w:color="auto"/>
            </w:tcBorders>
            <w:shd w:val="clear" w:color="auto" w:fill="auto"/>
            <w:noWrap/>
            <w:vAlign w:val="center"/>
          </w:tcPr>
          <w:p>
            <w:pPr>
              <w:spacing w:after="0"/>
              <w:jc w:val="right"/>
              <w:rPr>
                <w:rFonts w:ascii="Times New Roman" w:eastAsia="Times New Roman" w:hAnsi="Times New Roman" w:cs="Times New Roman"/>
                <w:lang w:val="en-US" w:eastAsia="el-GR"/>
              </w:rPr>
            </w:pPr>
            <w:r>
              <w:rPr>
                <w:rFonts w:ascii="Times New Roman" w:eastAsia="Times New Roman" w:hAnsi="Times New Roman" w:cs="Times New Roman"/>
                <w:lang w:val="en-US" w:eastAsia="el-GR"/>
              </w:rPr>
              <w:t xml:space="preserve">   979</w:t>
            </w:r>
          </w:p>
        </w:tc>
        <w:tc>
          <w:tcPr>
            <w:tcW w:w="904" w:type="dxa"/>
            <w:tcBorders>
              <w:top w:val="nil"/>
              <w:left w:val="nil"/>
              <w:bottom w:val="single" w:sz="4" w:space="0" w:color="auto"/>
              <w:right w:val="single" w:sz="4" w:space="0" w:color="auto"/>
            </w:tcBorders>
            <w:shd w:val="clear" w:color="auto" w:fill="auto"/>
            <w:noWrap/>
            <w:vAlign w:val="bottom"/>
          </w:tcPr>
          <w:p>
            <w:pPr>
              <w:spacing w:after="0"/>
              <w:ind w:firstLineChars="50" w:firstLine="110"/>
              <w:jc w:val="right"/>
              <w:rPr>
                <w:rFonts w:ascii="Times New Roman" w:eastAsia="Times New Roman" w:hAnsi="Times New Roman" w:cs="Times New Roman"/>
                <w:lang w:val="en-US" w:eastAsia="el-GR"/>
              </w:rPr>
            </w:pPr>
            <w:r>
              <w:rPr>
                <w:rFonts w:ascii="Times New Roman" w:eastAsia="Times New Roman" w:hAnsi="Times New Roman" w:cs="Times New Roman"/>
                <w:lang w:val="en-US" w:eastAsia="el-GR"/>
              </w:rPr>
              <w:t>20,16</w:t>
            </w:r>
          </w:p>
        </w:tc>
        <w:tc>
          <w:tcPr>
            <w:tcW w:w="997" w:type="dxa"/>
            <w:vMerge/>
            <w:tcBorders>
              <w:left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lang w:eastAsia="el-GR"/>
              </w:rPr>
            </w:pPr>
          </w:p>
        </w:tc>
        <w:tc>
          <w:tcPr>
            <w:tcW w:w="485" w:type="dxa"/>
            <w:vMerge/>
            <w:tcBorders>
              <w:left w:val="single" w:sz="4" w:space="0" w:color="auto"/>
              <w:right w:val="nil"/>
            </w:tcBorders>
            <w:shd w:val="clear" w:color="auto" w:fill="auto"/>
            <w:noWrap/>
            <w:vAlign w:val="bottom"/>
          </w:tcPr>
          <w:p>
            <w:pPr>
              <w:spacing w:after="0"/>
              <w:jc w:val="right"/>
              <w:rPr>
                <w:rFonts w:ascii="Times New Roman" w:eastAsia="Times New Roman" w:hAnsi="Times New Roman" w:cs="Times New Roman"/>
                <w:lang w:eastAsia="el-GR"/>
              </w:rPr>
            </w:pPr>
          </w:p>
        </w:tc>
        <w:tc>
          <w:tcPr>
            <w:tcW w:w="447" w:type="dxa"/>
            <w:vMerge/>
            <w:tcBorders>
              <w:left w:val="nil"/>
              <w:right w:val="single" w:sz="4" w:space="0" w:color="auto"/>
            </w:tcBorders>
            <w:shd w:val="clear" w:color="auto" w:fill="auto"/>
            <w:noWrap/>
            <w:vAlign w:val="bottom"/>
          </w:tcPr>
          <w:p>
            <w:pPr>
              <w:spacing w:after="0"/>
              <w:jc w:val="right"/>
              <w:rPr>
                <w:rFonts w:ascii="Times New Roman" w:eastAsia="Times New Roman" w:hAnsi="Times New Roman" w:cs="Times New Roman"/>
                <w:lang w:val="en-US" w:eastAsia="el-GR"/>
              </w:rPr>
            </w:pPr>
          </w:p>
        </w:tc>
      </w:tr>
      <w:tr>
        <w:trPr>
          <w:trHeight w:val="288"/>
          <w:jc w:val="center"/>
        </w:trPr>
        <w:tc>
          <w:tcPr>
            <w:tcW w:w="4291" w:type="dxa"/>
            <w:tcBorders>
              <w:top w:val="nil"/>
              <w:left w:val="single" w:sz="4" w:space="0" w:color="auto"/>
              <w:bottom w:val="single" w:sz="4" w:space="0" w:color="auto"/>
              <w:right w:val="single" w:sz="4" w:space="0" w:color="auto"/>
            </w:tcBorders>
            <w:shd w:val="clear" w:color="auto" w:fill="auto"/>
            <w:noWrap/>
            <w:vAlign w:val="bottom"/>
          </w:tcPr>
          <w:p>
            <w:pPr>
              <w:spacing w:after="0"/>
              <w:rPr>
                <w:rFonts w:ascii="Times New Roman" w:eastAsia="Times New Roman" w:hAnsi="Times New Roman" w:cs="Times New Roman"/>
                <w:lang w:val="en-US" w:eastAsia="el-GR"/>
              </w:rPr>
            </w:pPr>
            <w:r>
              <w:rPr>
                <w:rFonts w:ascii="Times New Roman" w:eastAsia="Times New Roman" w:hAnsi="Times New Roman" w:cs="Times New Roman"/>
                <w:lang w:val="en-US" w:eastAsia="el-GR"/>
              </w:rPr>
              <w:t xml:space="preserve">                        ΣΥΝΟΛΟ  </w:t>
            </w:r>
          </w:p>
        </w:tc>
        <w:tc>
          <w:tcPr>
            <w:tcW w:w="767" w:type="dxa"/>
            <w:tcBorders>
              <w:top w:val="nil"/>
              <w:left w:val="nil"/>
              <w:bottom w:val="single" w:sz="4" w:space="0" w:color="auto"/>
              <w:right w:val="single" w:sz="4" w:space="0" w:color="auto"/>
            </w:tcBorders>
            <w:shd w:val="clear" w:color="auto" w:fill="auto"/>
            <w:noWrap/>
            <w:vAlign w:val="bottom"/>
          </w:tcPr>
          <w:p>
            <w:pPr>
              <w:spacing w:after="0"/>
              <w:jc w:val="center"/>
              <w:rPr>
                <w:rFonts w:ascii="Times New Roman" w:eastAsia="Times New Roman" w:hAnsi="Times New Roman" w:cs="Times New Roman"/>
                <w:lang w:val="en-US" w:eastAsia="el-GR"/>
              </w:rPr>
            </w:pPr>
          </w:p>
        </w:tc>
        <w:tc>
          <w:tcPr>
            <w:tcW w:w="738" w:type="dxa"/>
            <w:tcBorders>
              <w:top w:val="nil"/>
              <w:left w:val="single" w:sz="4" w:space="0" w:color="auto"/>
              <w:bottom w:val="single" w:sz="4" w:space="0" w:color="auto"/>
              <w:right w:val="single" w:sz="4" w:space="0" w:color="auto"/>
            </w:tcBorders>
            <w:shd w:val="clear" w:color="auto" w:fill="auto"/>
            <w:noWrap/>
            <w:vAlign w:val="center"/>
          </w:tcPr>
          <w:p>
            <w:pPr>
              <w:spacing w:after="0"/>
              <w:jc w:val="center"/>
              <w:rPr>
                <w:rFonts w:ascii="Times New Roman" w:eastAsia="Times New Roman" w:hAnsi="Times New Roman" w:cs="Times New Roman"/>
                <w:lang w:val="en-US" w:eastAsia="el-GR"/>
              </w:rPr>
            </w:pPr>
          </w:p>
        </w:tc>
        <w:tc>
          <w:tcPr>
            <w:tcW w:w="905" w:type="dxa"/>
            <w:tcBorders>
              <w:top w:val="nil"/>
              <w:left w:val="nil"/>
              <w:bottom w:val="single" w:sz="4" w:space="0" w:color="auto"/>
              <w:right w:val="single" w:sz="4" w:space="0" w:color="auto"/>
            </w:tcBorders>
            <w:noWrap/>
            <w:vAlign w:val="center"/>
          </w:tcPr>
          <w:p>
            <w:pPr>
              <w:spacing w:after="0"/>
              <w:jc w:val="right"/>
              <w:rPr>
                <w:rFonts w:ascii="Times New Roman" w:eastAsia="Times New Roman" w:hAnsi="Times New Roman" w:cs="Times New Roman"/>
                <w:b/>
                <w:bCs/>
                <w:lang w:val="en-US" w:eastAsia="el-GR"/>
              </w:rPr>
            </w:pPr>
            <w:r>
              <w:rPr>
                <w:rFonts w:ascii="Times New Roman" w:eastAsia="Times New Roman" w:hAnsi="Times New Roman" w:cs="Times New Roman"/>
                <w:b/>
                <w:bCs/>
                <w:lang w:val="en-US" w:eastAsia="el-GR"/>
              </w:rPr>
              <w:t>2.435</w:t>
            </w:r>
          </w:p>
        </w:tc>
        <w:tc>
          <w:tcPr>
            <w:tcW w:w="904" w:type="dxa"/>
            <w:tcBorders>
              <w:top w:val="nil"/>
              <w:left w:val="nil"/>
              <w:bottom w:val="single" w:sz="4" w:space="0" w:color="auto"/>
              <w:right w:val="single" w:sz="4" w:space="0" w:color="auto"/>
            </w:tcBorders>
            <w:noWrap/>
            <w:vAlign w:val="bottom"/>
          </w:tcPr>
          <w:p>
            <w:pPr>
              <w:spacing w:after="0"/>
              <w:jc w:val="right"/>
              <w:rPr>
                <w:rFonts w:ascii="Times New Roman" w:eastAsia="Times New Roman" w:hAnsi="Times New Roman" w:cs="Times New Roman"/>
                <w:b/>
                <w:bCs/>
                <w:lang w:val="en-US" w:eastAsia="el-GR"/>
              </w:rPr>
            </w:pPr>
            <w:r>
              <w:rPr>
                <w:rFonts w:ascii="Times New Roman" w:eastAsia="Times New Roman" w:hAnsi="Times New Roman" w:cs="Times New Roman"/>
                <w:b/>
                <w:bCs/>
                <w:lang w:val="en-US" w:eastAsia="el-GR"/>
              </w:rPr>
              <w:t>50,14</w:t>
            </w:r>
          </w:p>
        </w:tc>
        <w:tc>
          <w:tcPr>
            <w:tcW w:w="997" w:type="dxa"/>
            <w:vMerge/>
            <w:tcBorders>
              <w:left w:val="single" w:sz="4" w:space="0" w:color="auto"/>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lang w:eastAsia="el-GR"/>
              </w:rPr>
            </w:pPr>
          </w:p>
        </w:tc>
        <w:tc>
          <w:tcPr>
            <w:tcW w:w="485" w:type="dxa"/>
            <w:vMerge/>
            <w:tcBorders>
              <w:left w:val="single" w:sz="4" w:space="0" w:color="auto"/>
              <w:bottom w:val="single" w:sz="4" w:space="0" w:color="auto"/>
              <w:right w:val="nil"/>
            </w:tcBorders>
            <w:shd w:val="clear" w:color="auto" w:fill="auto"/>
            <w:noWrap/>
            <w:vAlign w:val="bottom"/>
          </w:tcPr>
          <w:p>
            <w:pPr>
              <w:spacing w:after="0"/>
              <w:jc w:val="right"/>
              <w:rPr>
                <w:rFonts w:ascii="Times New Roman" w:eastAsia="Times New Roman" w:hAnsi="Times New Roman" w:cs="Times New Roman"/>
                <w:lang w:eastAsia="el-GR"/>
              </w:rPr>
            </w:pPr>
          </w:p>
        </w:tc>
        <w:tc>
          <w:tcPr>
            <w:tcW w:w="447" w:type="dxa"/>
            <w:vMerge/>
            <w:tcBorders>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lang w:val="en-US" w:eastAsia="el-GR"/>
              </w:rPr>
            </w:pPr>
          </w:p>
        </w:tc>
      </w:tr>
    </w:tbl>
    <w:p>
      <w:pPr>
        <w:spacing w:before="60" w:after="240" w:line="257" w:lineRule="auto"/>
        <w:jc w:val="both"/>
        <w:rPr>
          <w:rFonts w:ascii="Times New Roman" w:hAnsi="Times New Roman" w:cs="Times New Roman"/>
          <w:sz w:val="20"/>
          <w:szCs w:val="20"/>
        </w:rPr>
      </w:pPr>
      <w:r>
        <w:rPr>
          <w:rFonts w:ascii="Times New Roman" w:hAnsi="Times New Roman" w:cs="Times New Roman"/>
          <w:sz w:val="10"/>
          <w:szCs w:val="10"/>
        </w:rPr>
        <w:t xml:space="preserve"> </w:t>
      </w:r>
      <w:r>
        <w:rPr>
          <w:rFonts w:ascii="Times New Roman" w:hAnsi="Times New Roman" w:cs="Times New Roman"/>
          <w:sz w:val="20"/>
          <w:szCs w:val="20"/>
        </w:rPr>
        <w:t xml:space="preserve">* Η μείωση των </w:t>
      </w:r>
      <w:r>
        <w:rPr>
          <w:rFonts w:ascii="Times New Roman" w:hAnsi="Times New Roman" w:cs="Times New Roman"/>
          <w:b/>
          <w:bCs/>
          <w:sz w:val="20"/>
          <w:szCs w:val="20"/>
        </w:rPr>
        <w:t>533</w:t>
      </w:r>
      <w:r>
        <w:rPr>
          <w:rFonts w:ascii="Times New Roman" w:hAnsi="Times New Roman" w:cs="Times New Roman"/>
          <w:sz w:val="20"/>
          <w:szCs w:val="20"/>
        </w:rPr>
        <w:t xml:space="preserve"> ψήφων και του ποσοστού κατά </w:t>
      </w:r>
      <w:r>
        <w:rPr>
          <w:rFonts w:ascii="Times New Roman" w:hAnsi="Times New Roman" w:cs="Times New Roman"/>
          <w:b/>
          <w:bCs/>
          <w:sz w:val="20"/>
          <w:szCs w:val="20"/>
        </w:rPr>
        <w:t>5,66%</w:t>
      </w:r>
      <w:r>
        <w:rPr>
          <w:rFonts w:ascii="Times New Roman" w:hAnsi="Times New Roman" w:cs="Times New Roman"/>
          <w:sz w:val="20"/>
          <w:szCs w:val="20"/>
        </w:rPr>
        <w:t xml:space="preserve"> προκύπτει από την σύγκριση με το άθροισμα των ψήφων (</w:t>
      </w:r>
      <w:r>
        <w:rPr>
          <w:rFonts w:ascii="Times New Roman" w:hAnsi="Times New Roman" w:cs="Times New Roman"/>
          <w:b/>
          <w:bCs/>
          <w:sz w:val="20"/>
          <w:szCs w:val="20"/>
        </w:rPr>
        <w:t>2.435</w:t>
      </w:r>
      <w:r>
        <w:rPr>
          <w:rFonts w:ascii="Times New Roman" w:hAnsi="Times New Roman" w:cs="Times New Roman"/>
          <w:sz w:val="20"/>
          <w:szCs w:val="20"/>
        </w:rPr>
        <w:t xml:space="preserve">) και των ποσοστών ( </w:t>
      </w:r>
      <w:r>
        <w:rPr>
          <w:rFonts w:ascii="Times New Roman" w:hAnsi="Times New Roman" w:cs="Times New Roman"/>
          <w:b/>
          <w:bCs/>
          <w:sz w:val="20"/>
          <w:szCs w:val="20"/>
        </w:rPr>
        <w:t>50,14%</w:t>
      </w:r>
      <w:r>
        <w:rPr>
          <w:rFonts w:ascii="Times New Roman" w:hAnsi="Times New Roman" w:cs="Times New Roman"/>
          <w:sz w:val="20"/>
          <w:szCs w:val="20"/>
        </w:rPr>
        <w:t xml:space="preserve">) που πήραν τα συνεργαζόμενα ψηφοδέλτια στις εκλογές του 2022 όταν κατέβηκαν ξεχωριστά ως «ΟΛΟΙ ΜΑΖΙ» και ως «ΣΥΜΠΑΡΑΤΑΞΗ ΠΥΡΟΣΒΕΣΤΩΝ».   </w:t>
      </w:r>
    </w:p>
    <w:p>
      <w:pPr>
        <w:spacing w:after="120" w:line="240" w:lineRule="auto"/>
        <w:ind w:firstLineChars="100" w:firstLine="240"/>
        <w:jc w:val="both"/>
        <w:rPr>
          <w:rFonts w:ascii="Times New Roman" w:hAnsi="Times New Roman" w:cs="Times New Roman"/>
          <w:sz w:val="24"/>
          <w:szCs w:val="24"/>
        </w:rPr>
      </w:pPr>
      <w:r>
        <w:rPr>
          <w:rFonts w:ascii="Times New Roman" w:hAnsi="Times New Roman" w:cs="Times New Roman"/>
          <w:sz w:val="24"/>
          <w:szCs w:val="24"/>
        </w:rPr>
        <w:t xml:space="preserve">Από τους </w:t>
      </w:r>
      <w:r>
        <w:rPr>
          <w:rFonts w:ascii="Times New Roman" w:hAnsi="Times New Roman" w:cs="Times New Roman"/>
          <w:b/>
          <w:bCs/>
          <w:sz w:val="24"/>
          <w:szCs w:val="24"/>
        </w:rPr>
        <w:t>8.380</w:t>
      </w:r>
      <w:r>
        <w:rPr>
          <w:rFonts w:ascii="Times New Roman" w:hAnsi="Times New Roman" w:cs="Times New Roman"/>
          <w:sz w:val="24"/>
          <w:szCs w:val="24"/>
        </w:rPr>
        <w:t xml:space="preserve"> υπαλλήλους που είχαν δικαίωμα ψήφου οι </w:t>
      </w:r>
      <w:r>
        <w:rPr>
          <w:rFonts w:ascii="Times New Roman" w:hAnsi="Times New Roman" w:cs="Times New Roman"/>
          <w:b/>
          <w:bCs/>
          <w:sz w:val="24"/>
          <w:szCs w:val="24"/>
        </w:rPr>
        <w:t>3.836</w:t>
      </w:r>
      <w:r>
        <w:rPr>
          <w:rFonts w:ascii="Times New Roman" w:hAnsi="Times New Roman" w:cs="Times New Roman"/>
          <w:sz w:val="24"/>
          <w:szCs w:val="24"/>
        </w:rPr>
        <w:t xml:space="preserve"> συνάδελφοι δεν ψήφισαν. Η αποχή</w:t>
      </w:r>
      <w:r>
        <w:rPr>
          <w:rFonts w:ascii="Times New Roman" w:hAnsi="Times New Roman" w:cs="Times New Roman"/>
          <w:b/>
          <w:bCs/>
          <w:sz w:val="24"/>
          <w:szCs w:val="24"/>
        </w:rPr>
        <w:t xml:space="preserve"> </w:t>
      </w:r>
      <w:r>
        <w:rPr>
          <w:rFonts w:ascii="Times New Roman" w:hAnsi="Times New Roman" w:cs="Times New Roman"/>
          <w:sz w:val="24"/>
          <w:szCs w:val="24"/>
        </w:rPr>
        <w:t xml:space="preserve">διαμορφώνεται </w:t>
      </w:r>
      <w:r>
        <w:rPr>
          <w:rFonts w:ascii="Times New Roman" w:hAnsi="Times New Roman" w:cs="Times New Roman"/>
          <w:bCs/>
          <w:sz w:val="24"/>
          <w:szCs w:val="24"/>
        </w:rPr>
        <w:t>σ</w:t>
      </w:r>
      <w:r>
        <w:rPr>
          <w:rFonts w:ascii="Times New Roman" w:hAnsi="Times New Roman" w:cs="Times New Roman"/>
          <w:sz w:val="24"/>
          <w:szCs w:val="24"/>
        </w:rPr>
        <w:t xml:space="preserve">το </w:t>
      </w:r>
      <w:r>
        <w:rPr>
          <w:rFonts w:ascii="Times New Roman" w:hAnsi="Times New Roman" w:cs="Times New Roman"/>
          <w:b/>
          <w:sz w:val="24"/>
          <w:szCs w:val="24"/>
        </w:rPr>
        <w:t>45,77</w:t>
      </w:r>
      <w:r>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 xml:space="preserve">κυρίως λόγω συνειδητής αποχής από μία εκλογική διαδικασία που αμφισβητείται το αδιάβλητό της, λόγω της ηλεκτρονικής ψηφοφορίας που πραγματοποιείται για δεύτερη φορά. Παράλληλα συνέβαλε στην αύξηση της αποχής και ο αποκλεισμός που επιβλήθηκε </w:t>
      </w:r>
      <w:r>
        <w:rPr>
          <w:rFonts w:ascii="Times New Roman" w:hAnsi="Times New Roman" w:cs="Times New Roman"/>
          <w:bCs/>
          <w:sz w:val="24"/>
          <w:szCs w:val="24"/>
        </w:rPr>
        <w:lastRenderedPageBreak/>
        <w:t>από την εκλογική διαδικασία σε μερίδα συναδέλφων καθώς και η μη έγκαιρη ενημέρωση για τα διαδικαστικά ζητήματα, γεγονός το οποίο δημιούργησε μεγάλο προβληματισμό και σοβαρές αναστολές σε χιλιάδες συναδέλφους για την άσκηση του εκλογικού τους δικαιώματος!!!</w:t>
      </w:r>
      <w:r>
        <w:rPr>
          <w:rFonts w:ascii="Times New Roman" w:hAnsi="Times New Roman" w:cs="Times New Roman"/>
          <w:sz w:val="24"/>
          <w:szCs w:val="24"/>
        </w:rPr>
        <w:t xml:space="preserve"> </w:t>
      </w:r>
    </w:p>
    <w:p>
      <w:pPr>
        <w:spacing w:after="120" w:line="240" w:lineRule="auto"/>
        <w:ind w:firstLine="340"/>
        <w:jc w:val="both"/>
        <w:rPr>
          <w:rFonts w:ascii="Times New Roman" w:hAnsi="Times New Roman" w:cs="Times New Roman"/>
          <w:sz w:val="24"/>
          <w:szCs w:val="24"/>
        </w:rPr>
      </w:pPr>
      <w:r>
        <w:rPr>
          <w:rFonts w:ascii="Times New Roman" w:hAnsi="Times New Roman" w:cs="Times New Roman"/>
          <w:sz w:val="24"/>
          <w:szCs w:val="24"/>
        </w:rPr>
        <w:t>Η εξαιρετικά μικρή συμμετοχή μαρτυρά ότι υπάρχει σημαντικός αριθμός πυροσβεστών που αντιλαμβάνεται ότι συνολικότερα η πρακτική της ηλεκτρονικής ψηφοφορίας που επιβάλει ο νόμος Χατζηδάκη (άρθρο 87, ν.4808/2021) δεν εμπνέει εμπιστοσύνη συνέπεια των ελεγχόμενων, διαβλητών, αναξιοκρατικών και αντιδημοκρατικών εκλογικών διαδικασιών.</w:t>
      </w:r>
    </w:p>
    <w:p>
      <w:pPr>
        <w:pStyle w:val="western"/>
        <w:spacing w:before="0" w:beforeAutospacing="0" w:after="120" w:afterAutospacing="0"/>
        <w:ind w:firstLine="340"/>
        <w:jc w:val="both"/>
        <w:rPr>
          <w:sz w:val="10"/>
          <w:szCs w:val="10"/>
        </w:rPr>
      </w:pPr>
      <w:r>
        <w:t>Αξίζει να σημειωθεί ότι η θέση μας για την ηλεκτρονική ψηφοφορία είναι ξεκάθαρη και τα προβλήματα της διαδικασίας τα έχουμε αναδείξει και παλαιότερα και τα αναδείξαμε με την ανακοίνωση μας στις  11/12/2024 με θέμα: «</w:t>
      </w:r>
      <w:r>
        <w:rPr>
          <w:b/>
          <w:bCs/>
        </w:rPr>
        <w:t xml:space="preserve">Άμεση κατάργηση των ηλεκτρονικών, διαβλητών και απρόσωπων εκλογικών διαδικασιών για τα υπηρεσιακά συμβούλια μεταθέσεων στο Πυροσβεστικό Σώμα». </w:t>
      </w:r>
      <w:r>
        <w:rPr>
          <w:bCs/>
        </w:rPr>
        <w:t>Σ</w:t>
      </w:r>
      <w:r>
        <w:t xml:space="preserve">ε καμία περίπτωση δεν διασφαλίζεται η ταυτοπροσωπία του εκλογέα και το αδιάβλητο των εκλογών αφού οι κωδικοί και τα προσωπικά δεδομένα μπορούν να αξιοποιούνται κατά το δοκούν και να γίνονται αντικείμενο επεξεργασίας με ότι σημαίνει αυτό! </w:t>
      </w:r>
    </w:p>
    <w:p>
      <w:pPr>
        <w:spacing w:after="0" w:line="240" w:lineRule="auto"/>
        <w:ind w:firstLine="340"/>
        <w:jc w:val="both"/>
        <w:rPr>
          <w:rFonts w:ascii="Times New Roman" w:hAnsi="Times New Roman" w:cs="Times New Roman"/>
          <w:b/>
          <w:bCs/>
          <w:sz w:val="24"/>
          <w:szCs w:val="24"/>
        </w:rPr>
      </w:pPr>
      <w:r>
        <w:rPr>
          <w:rFonts w:ascii="Times New Roman" w:hAnsi="Times New Roman" w:cs="Times New Roman"/>
          <w:b/>
          <w:bCs/>
          <w:sz w:val="24"/>
          <w:szCs w:val="24"/>
        </w:rPr>
        <w:t xml:space="preserve">Ωστόσο φαίνεται όμως ότι ένα ποσοστό συναδέλφων αντιλαμβάνεται τη βαρύτητα και το δίκαιο των θέσεων της Ε.Α.Κ.Π. και αυτό καταγράφηκε και από το αποτέλεσμα των εκλογών από την στιγμή που ήταν η μόνη παράταξη που είχε άνοδο σε ψήφους και ποσοστά και φυσικά αυτό ως γεγονός δεν περνάει απαρατήρητο από τους εκπροσώπους του κυβερνητικού συνδικαλισμού. </w:t>
      </w:r>
    </w:p>
    <w:p>
      <w:pPr>
        <w:spacing w:after="0" w:line="240" w:lineRule="auto"/>
        <w:ind w:firstLine="340"/>
        <w:jc w:val="both"/>
        <w:rPr>
          <w:rFonts w:ascii="Times New Roman" w:hAnsi="Times New Roman" w:cs="Times New Roman"/>
          <w:sz w:val="10"/>
          <w:szCs w:val="10"/>
        </w:rPr>
      </w:pPr>
    </w:p>
    <w:p>
      <w:pPr>
        <w:spacing w:after="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Αν λάβουμε επίσης υπόψη ότι πολλοί από όσους απείχαν δεν δείχνουν καμία εμπιστοσύνη όχι μόνο στους εκπροσώπους του κυβερνητικού συνδικαλισμού αλλά και στην ηλεκτρονική ψηφοφορία, δείχνει ότι πλέον μία μεγάλη μερίδα των συναδέλφων εκφράζει αμφισβήτηση όχι μόνο απέναντι στις τακτικές τους αλλά και στις πολιτικές που υπηρετούν με βαθιά προσήλωση!!! </w:t>
      </w:r>
    </w:p>
    <w:p>
      <w:pPr>
        <w:spacing w:after="0" w:line="240" w:lineRule="auto"/>
        <w:ind w:firstLine="340"/>
        <w:jc w:val="both"/>
        <w:rPr>
          <w:rFonts w:ascii="Times New Roman" w:hAnsi="Times New Roman" w:cs="Times New Roman"/>
          <w:sz w:val="10"/>
          <w:szCs w:val="10"/>
        </w:rPr>
      </w:pPr>
    </w:p>
    <w:p>
      <w:pPr>
        <w:spacing w:after="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Από τα παραπάνω γεγονότα και δεδομένα κύριος σκοπός της διαδικασίας δεν ήταν να εκφραστούν οι πυροσβέστες, αξιοποιώντας ακόμα ένα δικαίωμα που έχουν κατακτήσει, αλλά να τοποθετηθούν οι </w:t>
      </w:r>
      <w:r>
        <w:rPr>
          <w:rFonts w:ascii="Times New Roman" w:hAnsi="Times New Roman" w:cs="Times New Roman"/>
          <w:b/>
          <w:sz w:val="24"/>
          <w:szCs w:val="24"/>
        </w:rPr>
        <w:t xml:space="preserve">«αρεστοί» </w:t>
      </w:r>
      <w:r>
        <w:rPr>
          <w:rFonts w:ascii="Times New Roman" w:hAnsi="Times New Roman" w:cs="Times New Roman"/>
          <w:sz w:val="24"/>
          <w:szCs w:val="24"/>
        </w:rPr>
        <w:t>για την κυβέρνηση εκπρόσωποι στις κατάλληλες θέσεις ώστε να νομιμοποιούν και να συνεπικουρούν στις κατευθύνσεις άνωθεν, χωρίς παράπονα και αντιδράσεις.</w:t>
      </w:r>
    </w:p>
    <w:p>
      <w:pPr>
        <w:spacing w:after="0" w:line="240" w:lineRule="auto"/>
        <w:ind w:firstLine="340"/>
        <w:jc w:val="both"/>
        <w:rPr>
          <w:rFonts w:ascii="Times New Roman" w:hAnsi="Times New Roman" w:cs="Times New Roman"/>
          <w:sz w:val="10"/>
          <w:szCs w:val="10"/>
        </w:rPr>
      </w:pPr>
    </w:p>
    <w:p>
      <w:pPr>
        <w:pStyle w:val="western"/>
        <w:spacing w:before="0" w:beforeAutospacing="0" w:after="120" w:afterAutospacing="0"/>
        <w:ind w:firstLine="340"/>
        <w:jc w:val="both"/>
      </w:pPr>
      <w:r>
        <w:t xml:space="preserve">Η πάλη για πραγματικά αξιοκρατικές και διαφανείς διαδικασίες πρέπει να αποκτήσει μεγαλύτερη μαζικότητα και να γίνει από κοινού. Ωστόσο όλες οι άλλες παρατάξεις προσποιούνταν και πάλι ότι δεν γνωρίζουν και δεν ακούν τίποτα, επικροτώντας δια της σιωπής τις παραλείψεις και τις διαβλητές διαδικασίες της Διοίκησης. </w:t>
      </w:r>
    </w:p>
    <w:p>
      <w:pPr>
        <w:pStyle w:val="western"/>
        <w:spacing w:before="0" w:beforeAutospacing="0" w:after="0" w:afterAutospacing="0"/>
        <w:ind w:firstLine="340"/>
        <w:jc w:val="both"/>
        <w:rPr>
          <w:b/>
          <w:bCs/>
        </w:rPr>
      </w:pPr>
      <w:r>
        <w:rPr>
          <w:b/>
          <w:bCs/>
        </w:rPr>
        <w:t xml:space="preserve">Με πρώτο και καλύτερο το προεδρείο της Ομοσπονδίας, που για άλλη μια φορά δεν ακούστηκε το παραμικρό για την ακύρωση της εκλογικής διαδικασίας και τον απαράδεκτο αποκλεισμό εκατοντάδων συναδέλφων!!! </w:t>
      </w:r>
    </w:p>
    <w:p>
      <w:pPr>
        <w:pStyle w:val="western"/>
        <w:spacing w:before="0" w:beforeAutospacing="0" w:after="0" w:afterAutospacing="0"/>
        <w:ind w:firstLine="340"/>
        <w:jc w:val="both"/>
        <w:rPr>
          <w:b/>
          <w:bCs/>
          <w:sz w:val="10"/>
          <w:szCs w:val="10"/>
        </w:rPr>
      </w:pPr>
    </w:p>
    <w:p>
      <w:pPr>
        <w:pStyle w:val="western"/>
        <w:spacing w:before="0" w:beforeAutospacing="0" w:after="120" w:afterAutospacing="0"/>
        <w:ind w:firstLine="340"/>
        <w:jc w:val="both"/>
        <w:rPr>
          <w:b/>
          <w:bCs/>
        </w:rPr>
      </w:pPr>
      <w:r>
        <w:rPr>
          <w:bCs/>
        </w:rPr>
        <w:t>Την ίδια ρότα ακολούθησε</w:t>
      </w:r>
      <w:r>
        <w:rPr>
          <w:b/>
          <w:bCs/>
        </w:rPr>
        <w:t xml:space="preserve"> </w:t>
      </w:r>
      <w:r>
        <w:rPr>
          <w:bCs/>
        </w:rPr>
        <w:t>και η</w:t>
      </w:r>
      <w:r>
        <w:rPr>
          <w:b/>
          <w:bCs/>
        </w:rPr>
        <w:t xml:space="preserve"> </w:t>
      </w:r>
      <w:r>
        <w:t>παράταξη ΟΛΟΙ ΜΑΖΙ+ΠΟ.Π.Υ.ΣΥ.Π.+Α.Ε.Π.Π.+Π.Α.Κ.Π.</w:t>
      </w:r>
      <w:r>
        <w:rPr>
          <w:b/>
          <w:bCs/>
        </w:rPr>
        <w:t xml:space="preserve"> που </w:t>
      </w:r>
      <w:r>
        <w:t>έκανε μια μεγάλη συμμαχία απέναντι στην Δ.Α.Κ.Υ.Π.Σ.</w:t>
      </w:r>
      <w:r>
        <w:rPr>
          <w:b/>
          <w:bCs/>
        </w:rPr>
        <w:t xml:space="preserve"> </w:t>
      </w:r>
      <w:r>
        <w:t>και</w:t>
      </w:r>
      <w:r>
        <w:rPr>
          <w:b/>
          <w:bCs/>
        </w:rPr>
        <w:t xml:space="preserve"> </w:t>
      </w:r>
      <w:r>
        <w:t xml:space="preserve">πανηγυρίζει για την «μεγάλη» νίκη της ενώ έχει μείωση κατά </w:t>
      </w:r>
      <w:r>
        <w:rPr>
          <w:b/>
          <w:bCs/>
        </w:rPr>
        <w:t xml:space="preserve">533 </w:t>
      </w:r>
      <w:r>
        <w:t xml:space="preserve">ψήφους και κατά </w:t>
      </w:r>
      <w:r>
        <w:rPr>
          <w:b/>
          <w:bCs/>
        </w:rPr>
        <w:t>5,66%</w:t>
      </w:r>
      <w:r>
        <w:t xml:space="preserve"> των ποσοστών της.</w:t>
      </w:r>
      <w:r>
        <w:rPr>
          <w:b/>
          <w:bCs/>
        </w:rPr>
        <w:t xml:space="preserve"> </w:t>
      </w:r>
    </w:p>
    <w:p>
      <w:pPr>
        <w:pStyle w:val="western"/>
        <w:spacing w:before="0" w:beforeAutospacing="0" w:after="120" w:afterAutospacing="0"/>
        <w:ind w:firstLine="340"/>
        <w:jc w:val="both"/>
        <w:rPr>
          <w:b/>
          <w:bCs/>
        </w:rPr>
      </w:pPr>
      <w:r>
        <w:rPr>
          <w:b/>
          <w:bCs/>
        </w:rPr>
        <w:t>Τους αξίζουν πράγματι συγχαρητήρια που διόλου δεν τους προβλημάτισε η μεγάλη αποχή και η σημαντική μείωση των δυνάμεών τους, αλλά αντιθέτως τους ικανοποίησαν οι μόλις 7 ψήφοι διαφορά από την Δ.Α.Κ.Υ.Π.Σ. που τους έδωσαν και την πρωτιά!!!</w:t>
      </w:r>
    </w:p>
    <w:p>
      <w:pPr>
        <w:spacing w:after="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Αυτή ακριβώς η στάση τους καταδεικνύει και τον λόγο συμμετοχής τους στα συνδικαλιστικά πράγματα και ας το πάρουν σοβαρά υπόψη όσοι συνάδελφοι τους δίνουν συγχωροχάρτι με την ανοχή και την ψήφο τους, για την πλάτη που βάζουν σε κάθε κυβερνητικό αντεργατικό σχεδιασμό σε βάρος των εργασιακών τους δικαιωμάτων και του βιοτικού επιπέδου των οικογενειών τους!  </w:t>
      </w:r>
    </w:p>
    <w:p>
      <w:pPr>
        <w:spacing w:after="0" w:line="240" w:lineRule="auto"/>
        <w:ind w:firstLine="340"/>
        <w:jc w:val="both"/>
        <w:rPr>
          <w:rFonts w:ascii="Times New Roman" w:hAnsi="Times New Roman" w:cs="Times New Roman"/>
          <w:sz w:val="10"/>
          <w:szCs w:val="10"/>
        </w:rPr>
      </w:pPr>
    </w:p>
    <w:p>
      <w:pPr>
        <w:spacing w:after="0" w:line="240" w:lineRule="auto"/>
        <w:ind w:firstLine="340"/>
        <w:jc w:val="both"/>
        <w:rPr>
          <w:rFonts w:ascii="Times New Roman" w:eastAsia="Times New Roman" w:hAnsi="Times New Roman" w:cs="Times New Roman"/>
          <w:sz w:val="24"/>
          <w:szCs w:val="24"/>
          <w:lang w:eastAsia="el-GR"/>
        </w:rPr>
      </w:pPr>
      <w:r>
        <w:rPr>
          <w:rFonts w:ascii="Times New Roman" w:hAnsi="Times New Roman" w:cs="Times New Roman"/>
          <w:bCs/>
          <w:sz w:val="24"/>
          <w:szCs w:val="24"/>
        </w:rPr>
        <w:lastRenderedPageBreak/>
        <w:t>Η συγκεκριμένη εκλογική διαδικασία</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el-GR"/>
        </w:rPr>
        <w:t xml:space="preserve">στα συνδικάτα έχει στόχο να τα απομαζικοποιήσει. Να απομονώσουν τους εργαζόμενους, να τους απομακρύνουν από τις μαζικές διαδικασίες της συλλογικής συζήτησης, της ζωντανής διαπάλης και της αντιπαράθεσης με επιχειρήματα για την  επεξεργασία των θέσεων και του σχεδιασμού δράσης των συνδικάτων. </w:t>
      </w:r>
    </w:p>
    <w:p>
      <w:pPr>
        <w:spacing w:after="0" w:line="240" w:lineRule="auto"/>
        <w:ind w:firstLine="340"/>
        <w:jc w:val="both"/>
        <w:rPr>
          <w:rFonts w:ascii="Times New Roman" w:eastAsia="Times New Roman" w:hAnsi="Times New Roman" w:cs="Times New Roman"/>
          <w:sz w:val="10"/>
          <w:szCs w:val="10"/>
          <w:lang w:eastAsia="el-GR"/>
        </w:rPr>
      </w:pPr>
    </w:p>
    <w:p>
      <w:pPr>
        <w:spacing w:after="120" w:line="240" w:lineRule="auto"/>
        <w:ind w:firstLine="34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Στόχος τους είναι οι εργαζόμενοι μέσα από τις τακτικές απομονωτισμού και της ατομικής ευθύνης, να γίνονται πιο ευάλωτοι στις αντεργατικές πολιτικές και τις τακτικές χειραγώγησης των  εκπροσώπων του κυβερνητικού συνδικαλισμού.</w:t>
      </w:r>
    </w:p>
    <w:p>
      <w:pPr>
        <w:spacing w:after="0" w:line="240" w:lineRule="auto"/>
        <w:ind w:firstLine="34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Η μεγάλη αποχή καταρρίπτει τα επιχειρήματά τους, ότι τάχα έτσι εξασφαλίζεται η </w:t>
      </w:r>
      <w:r>
        <w:rPr>
          <w:rFonts w:ascii="Times New Roman" w:eastAsia="Times New Roman" w:hAnsi="Times New Roman" w:cs="Times New Roman"/>
          <w:b/>
          <w:sz w:val="24"/>
          <w:szCs w:val="24"/>
          <w:lang w:eastAsia="el-GR"/>
        </w:rPr>
        <w:t>«δημοκρατική συμμετοχή»</w:t>
      </w:r>
      <w:r>
        <w:rPr>
          <w:rFonts w:ascii="Times New Roman" w:eastAsia="Times New Roman" w:hAnsi="Times New Roman" w:cs="Times New Roman"/>
          <w:sz w:val="24"/>
          <w:szCs w:val="24"/>
          <w:lang w:eastAsia="el-GR"/>
        </w:rPr>
        <w:t xml:space="preserve"> και </w:t>
      </w:r>
      <w:r>
        <w:rPr>
          <w:rFonts w:ascii="Times New Roman" w:eastAsia="Times New Roman" w:hAnsi="Times New Roman" w:cs="Times New Roman"/>
          <w:b/>
          <w:sz w:val="24"/>
          <w:szCs w:val="24"/>
          <w:lang w:eastAsia="el-GR"/>
        </w:rPr>
        <w:t>«απελευθερώνονται»</w:t>
      </w:r>
      <w:r>
        <w:rPr>
          <w:rFonts w:ascii="Times New Roman" w:eastAsia="Times New Roman" w:hAnsi="Times New Roman" w:cs="Times New Roman"/>
          <w:sz w:val="24"/>
          <w:szCs w:val="24"/>
          <w:lang w:eastAsia="el-GR"/>
        </w:rPr>
        <w:t xml:space="preserve"> οι συνάδελφοι από πιέσεις.</w:t>
      </w:r>
    </w:p>
    <w:p>
      <w:pPr>
        <w:spacing w:after="0" w:line="240" w:lineRule="auto"/>
        <w:ind w:firstLine="340"/>
        <w:jc w:val="both"/>
        <w:rPr>
          <w:rFonts w:ascii="Times New Roman" w:eastAsia="Times New Roman" w:hAnsi="Times New Roman" w:cs="Times New Roman"/>
          <w:sz w:val="10"/>
          <w:szCs w:val="10"/>
          <w:lang w:eastAsia="el-GR"/>
        </w:rPr>
      </w:pPr>
    </w:p>
    <w:p>
      <w:pPr>
        <w:spacing w:after="0" w:line="240" w:lineRule="auto"/>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Οι εργαζόμενοι στο Π.Σ. θα πρέπει μέσα από την αρνητική πείρα που συσσωρεύουν από τις συνέπειες εφαρμογής των αντεργατικών πολιτικών, να καταστήσουν ξεκάθαρο ότι η μόνη προοπτική διεξόδου από τον εργασιακό μεσαίωνα που έχουν επιβάλει πολιτικές και φυσικές ηγεσίες χέρι-χέρι με τους εκπροσώπους του κυβερνητικού συνδικαλισμού, είναι ο αγώνας και η συσπείρωσή τους με το επεξεργασμένο αγωνιστικό διεκδικητικό πλαίσιο της Ε.Α.Κ.Π.. </w:t>
      </w:r>
    </w:p>
    <w:p>
      <w:pPr>
        <w:spacing w:after="0" w:line="240" w:lineRule="auto"/>
        <w:ind w:firstLine="340"/>
        <w:jc w:val="both"/>
        <w:rPr>
          <w:rFonts w:ascii="Times New Roman" w:hAnsi="Times New Roman" w:cs="Times New Roman"/>
          <w:bCs/>
          <w:sz w:val="10"/>
          <w:szCs w:val="10"/>
        </w:rPr>
      </w:pPr>
    </w:p>
    <w:p>
      <w:pPr>
        <w:spacing w:after="120" w:line="240" w:lineRule="auto"/>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Την παράταξη που συσπειρώνει με το ταξικό πλαίσιο των θέσεων της αγωνιστές συναδέλφους, δοκιμασμένους στα δύσκολα και από την δημιουργία της συσπείρωνε στις τάξεις της τους πρωτοπόρους του συνδικαλιστικού μας κινήματος. Όλους αυτούς που με τους αγώνες τους σε πιο αντιδραστικές εποχές, συνέβαλαν στην κατάκτηση θεμελιακών εργασιακών δικαιωμάτων, με ένα από αυτά να είναι η δημιουργία του κανονισμού μεταθέσεων, όπου στις μέρες μας οι συμβιβασμένοι του συνδικαλιστικού κινήματος έβαλαν πλάτη μέσα από τον Νόμο </w:t>
      </w:r>
      <w:r>
        <w:rPr>
          <w:rFonts w:ascii="Times New Roman" w:hAnsi="Times New Roman" w:cs="Times New Roman"/>
          <w:b/>
          <w:bCs/>
          <w:sz w:val="24"/>
          <w:szCs w:val="24"/>
        </w:rPr>
        <w:t>4662/2020</w:t>
      </w:r>
      <w:r>
        <w:rPr>
          <w:rFonts w:ascii="Times New Roman" w:hAnsi="Times New Roman" w:cs="Times New Roman"/>
          <w:bCs/>
          <w:sz w:val="24"/>
          <w:szCs w:val="24"/>
        </w:rPr>
        <w:t xml:space="preserve"> να επέλθει η πλήρης κατάργηση του. </w:t>
      </w:r>
    </w:p>
    <w:p>
      <w:pPr>
        <w:spacing w:after="0" w:line="240" w:lineRule="auto"/>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Την παράταξη που παλεύει για την δημιουργία ενός αξιοκρατικού κανονισμού μεταθέσεων έτσι όπως αποτυπώνεται μέσα από τις διατάξεις του σχεδίου Προεδρικού Διατάγματος που έχει εκπονήσει και το έχει καταθέσει διαχρονικά σε όλες τις κυβερνήσεις και τα συνδικαλιστικά όργανα που αρνούνται όμως πεισματικά να το εντάξουν στο διεκδικητικό τους πλαίσιο!!! (βλ. </w:t>
      </w:r>
      <w:r>
        <w:rPr>
          <w:rFonts w:ascii="Times New Roman" w:hAnsi="Times New Roman" w:cs="Times New Roman"/>
          <w:bCs/>
          <w:sz w:val="24"/>
          <w:szCs w:val="24"/>
          <w:lang w:val="en-US"/>
        </w:rPr>
        <w:t>eakp</w:t>
      </w:r>
      <w:r>
        <w:rPr>
          <w:rFonts w:ascii="Times New Roman" w:hAnsi="Times New Roman" w:cs="Times New Roman"/>
          <w:bCs/>
          <w:sz w:val="24"/>
          <w:szCs w:val="24"/>
        </w:rPr>
        <w:t>.</w:t>
      </w:r>
      <w:r>
        <w:rPr>
          <w:rFonts w:ascii="Times New Roman" w:hAnsi="Times New Roman" w:cs="Times New Roman"/>
          <w:bCs/>
          <w:sz w:val="24"/>
          <w:szCs w:val="24"/>
          <w:lang w:val="en-US"/>
        </w:rPr>
        <w:t>gr</w:t>
      </w:r>
      <w:r>
        <w:rPr>
          <w:rFonts w:ascii="Times New Roman" w:hAnsi="Times New Roman" w:cs="Times New Roman"/>
          <w:bCs/>
          <w:sz w:val="24"/>
          <w:szCs w:val="24"/>
        </w:rPr>
        <w:t>)</w:t>
      </w:r>
    </w:p>
    <w:p>
      <w:pPr>
        <w:spacing w:after="0" w:line="240" w:lineRule="auto"/>
        <w:ind w:firstLine="340"/>
        <w:jc w:val="both"/>
        <w:rPr>
          <w:rFonts w:ascii="Times New Roman" w:hAnsi="Times New Roman" w:cs="Times New Roman"/>
          <w:b/>
          <w:sz w:val="10"/>
          <w:szCs w:val="10"/>
        </w:rPr>
      </w:pPr>
    </w:p>
    <w:p>
      <w:pPr>
        <w:spacing w:after="120" w:line="257" w:lineRule="auto"/>
        <w:ind w:firstLine="340"/>
        <w:jc w:val="both"/>
        <w:rPr>
          <w:rFonts w:ascii="Times New Roman" w:hAnsi="Times New Roman" w:cs="Times New Roman"/>
          <w:sz w:val="24"/>
          <w:szCs w:val="24"/>
        </w:rPr>
      </w:pPr>
      <w:r>
        <w:rPr>
          <w:rFonts w:ascii="Times New Roman" w:hAnsi="Times New Roman" w:cs="Times New Roman"/>
          <w:b/>
          <w:sz w:val="24"/>
          <w:szCs w:val="24"/>
        </w:rPr>
        <w:t>Στις μέρες μας όπου έχει επιβληθεί ένα εργασιακό απαρτχάιντ απέναντι σε όλους τους εργαζόμενους του Π.Σ. (</w:t>
      </w:r>
      <w:r>
        <w:rPr>
          <w:rFonts w:ascii="Times New Roman" w:hAnsi="Times New Roman" w:cs="Times New Roman"/>
          <w:bCs/>
          <w:sz w:val="24"/>
          <w:szCs w:val="24"/>
        </w:rPr>
        <w:t xml:space="preserve">Μόνιμους, Π.Π.Υ., </w:t>
      </w:r>
      <w:r>
        <w:rPr>
          <w:rFonts w:ascii="Times New Roman" w:hAnsi="Times New Roman" w:cs="Times New Roman"/>
          <w:bCs/>
          <w:sz w:val="24"/>
          <w:szCs w:val="24"/>
        </w:rPr>
        <w:t>Ε</w:t>
      </w:r>
      <w:r>
        <w:rPr>
          <w:rFonts w:ascii="Times New Roman" w:hAnsi="Times New Roman" w:cs="Times New Roman"/>
          <w:bCs/>
          <w:sz w:val="24"/>
          <w:szCs w:val="24"/>
        </w:rPr>
        <w:t>.</w:t>
      </w:r>
      <w:r>
        <w:rPr>
          <w:rFonts w:ascii="Times New Roman" w:hAnsi="Times New Roman" w:cs="Times New Roman"/>
          <w:bCs/>
          <w:sz w:val="24"/>
          <w:szCs w:val="24"/>
        </w:rPr>
        <w:t>ΜΟ</w:t>
      </w:r>
      <w:r>
        <w:rPr>
          <w:rFonts w:ascii="Times New Roman" w:hAnsi="Times New Roman" w:cs="Times New Roman"/>
          <w:bCs/>
          <w:sz w:val="24"/>
          <w:szCs w:val="24"/>
        </w:rPr>
        <w:t>.</w:t>
      </w:r>
      <w:r>
        <w:rPr>
          <w:rFonts w:ascii="Times New Roman" w:hAnsi="Times New Roman" w:cs="Times New Roman"/>
          <w:bCs/>
          <w:sz w:val="24"/>
          <w:szCs w:val="24"/>
        </w:rPr>
        <w:t>Δ</w:t>
      </w:r>
      <w:r>
        <w:rPr>
          <w:rFonts w:ascii="Times New Roman" w:hAnsi="Times New Roman" w:cs="Times New Roman"/>
          <w:bCs/>
          <w:sz w:val="24"/>
          <w:szCs w:val="24"/>
        </w:rPr>
        <w:t>.</w:t>
      </w:r>
      <w:r>
        <w:rPr>
          <w:rFonts w:ascii="Times New Roman" w:hAnsi="Times New Roman" w:cs="Times New Roman"/>
          <w:bCs/>
          <w:sz w:val="24"/>
          <w:szCs w:val="24"/>
        </w:rPr>
        <w:t>Ε</w:t>
      </w:r>
      <w:r>
        <w:rPr>
          <w:rFonts w:ascii="Times New Roman" w:hAnsi="Times New Roman" w:cs="Times New Roman"/>
          <w:bCs/>
          <w:sz w:val="24"/>
          <w:szCs w:val="24"/>
        </w:rPr>
        <w:t xml:space="preserve">. </w:t>
      </w:r>
      <w:r>
        <w:rPr>
          <w:rFonts w:ascii="Times New Roman" w:hAnsi="Times New Roman" w:cs="Times New Roman"/>
          <w:bCs/>
          <w:sz w:val="24"/>
          <w:szCs w:val="24"/>
        </w:rPr>
        <w:t>&amp;</w:t>
      </w:r>
      <w:r>
        <w:rPr>
          <w:rFonts w:ascii="Times New Roman" w:hAnsi="Times New Roman" w:cs="Times New Roman"/>
          <w:bCs/>
          <w:sz w:val="24"/>
          <w:szCs w:val="24"/>
        </w:rPr>
        <w:t xml:space="preserve"> Εποχικούς</w:t>
      </w:r>
      <w:r>
        <w:rPr>
          <w:rFonts w:ascii="Times New Roman" w:hAnsi="Times New Roman" w:cs="Times New Roman"/>
          <w:b/>
          <w:sz w:val="24"/>
          <w:szCs w:val="24"/>
        </w:rPr>
        <w:t>) και έχουν απωλέσει ότι κατακτήσεις και εργασιακά δικαιώματα είχαν κερδίσει με σκληρούς αγώνε</w:t>
      </w:r>
      <w:r>
        <w:rPr>
          <w:rFonts w:ascii="Times New Roman" w:hAnsi="Times New Roman" w:cs="Times New Roman"/>
          <w:bCs/>
          <w:sz w:val="24"/>
          <w:szCs w:val="24"/>
        </w:rPr>
        <w:t xml:space="preserve">ς, </w:t>
      </w:r>
      <w:r>
        <w:rPr>
          <w:rFonts w:ascii="Times New Roman" w:hAnsi="Times New Roman" w:cs="Times New Roman"/>
          <w:b/>
          <w:sz w:val="24"/>
          <w:szCs w:val="24"/>
        </w:rPr>
        <w:t>είναι αναγκαιότητα η σημαντική ενίσχυση της Ε.Α.Κ.Π. γιατί όπως αποδείχθηκε</w:t>
      </w:r>
      <w:r>
        <w:rPr>
          <w:rFonts w:ascii="Times New Roman" w:hAnsi="Times New Roman" w:cs="Times New Roman"/>
          <w:sz w:val="24"/>
          <w:szCs w:val="24"/>
        </w:rPr>
        <w:t xml:space="preserve"> από την </w:t>
      </w:r>
      <w:r>
        <w:rPr>
          <w:rFonts w:ascii="Times New Roman" w:hAnsi="Times New Roman" w:cs="Times New Roman"/>
          <w:b/>
          <w:bCs/>
          <w:sz w:val="24"/>
          <w:szCs w:val="24"/>
        </w:rPr>
        <w:t>6</w:t>
      </w:r>
      <w:r>
        <w:rPr>
          <w:rFonts w:ascii="Times New Roman" w:hAnsi="Times New Roman" w:cs="Times New Roman"/>
          <w:sz w:val="24"/>
          <w:szCs w:val="24"/>
        </w:rPr>
        <w:t xml:space="preserve">χρονη απουσία της από το Δ.Σ. της Ομοσπονδίας, την </w:t>
      </w:r>
      <w:r>
        <w:rPr>
          <w:rFonts w:ascii="Times New Roman" w:hAnsi="Times New Roman" w:cs="Times New Roman"/>
          <w:b/>
          <w:bCs/>
          <w:sz w:val="24"/>
          <w:szCs w:val="24"/>
        </w:rPr>
        <w:t>10</w:t>
      </w:r>
      <w:r>
        <w:rPr>
          <w:rFonts w:ascii="Times New Roman" w:hAnsi="Times New Roman" w:cs="Times New Roman"/>
          <w:sz w:val="24"/>
          <w:szCs w:val="24"/>
        </w:rPr>
        <w:t xml:space="preserve">χρονη απουσία της από το υπηρεσιακό συμβούλιο μεταθέσεων όπου είχε αναδειχθεί </w:t>
      </w:r>
      <w:r>
        <w:rPr>
          <w:rFonts w:ascii="Times New Roman" w:hAnsi="Times New Roman" w:cs="Times New Roman"/>
          <w:b/>
          <w:bCs/>
          <w:sz w:val="24"/>
          <w:szCs w:val="24"/>
        </w:rPr>
        <w:t>1</w:t>
      </w:r>
      <w:r>
        <w:rPr>
          <w:rFonts w:ascii="Times New Roman" w:hAnsi="Times New Roman" w:cs="Times New Roman"/>
          <w:sz w:val="24"/>
          <w:szCs w:val="24"/>
          <w:vertAlign w:val="superscript"/>
        </w:rPr>
        <w:t>η</w:t>
      </w:r>
      <w:r>
        <w:rPr>
          <w:rFonts w:ascii="Times New Roman" w:hAnsi="Times New Roman" w:cs="Times New Roman"/>
          <w:sz w:val="24"/>
          <w:szCs w:val="24"/>
        </w:rPr>
        <w:t xml:space="preserve"> δύναμη το </w:t>
      </w:r>
      <w:r>
        <w:rPr>
          <w:rFonts w:ascii="Times New Roman" w:hAnsi="Times New Roman" w:cs="Times New Roman"/>
          <w:b/>
          <w:sz w:val="24"/>
          <w:szCs w:val="24"/>
        </w:rPr>
        <w:t>2010</w:t>
      </w:r>
      <w:r>
        <w:rPr>
          <w:rFonts w:ascii="Times New Roman" w:hAnsi="Times New Roman" w:cs="Times New Roman"/>
          <w:sz w:val="24"/>
          <w:szCs w:val="24"/>
        </w:rPr>
        <w:t xml:space="preserve"> με </w:t>
      </w:r>
      <w:r>
        <w:rPr>
          <w:rFonts w:ascii="Times New Roman" w:hAnsi="Times New Roman" w:cs="Times New Roman"/>
          <w:b/>
          <w:bCs/>
          <w:sz w:val="24"/>
          <w:szCs w:val="24"/>
        </w:rPr>
        <w:t>41,13%</w:t>
      </w:r>
      <w:r>
        <w:rPr>
          <w:rFonts w:ascii="Times New Roman" w:hAnsi="Times New Roman" w:cs="Times New Roman"/>
          <w:sz w:val="24"/>
          <w:szCs w:val="24"/>
        </w:rPr>
        <w:t xml:space="preserve"> και με </w:t>
      </w:r>
      <w:r>
        <w:rPr>
          <w:rFonts w:ascii="Times New Roman" w:hAnsi="Times New Roman" w:cs="Times New Roman"/>
          <w:b/>
          <w:bCs/>
          <w:sz w:val="24"/>
          <w:szCs w:val="24"/>
        </w:rPr>
        <w:t>2.276</w:t>
      </w:r>
      <w:r>
        <w:rPr>
          <w:rFonts w:ascii="Times New Roman" w:hAnsi="Times New Roman" w:cs="Times New Roman"/>
          <w:sz w:val="24"/>
          <w:szCs w:val="24"/>
        </w:rPr>
        <w:t xml:space="preserve"> ψήφους και την </w:t>
      </w:r>
      <w:r>
        <w:rPr>
          <w:rFonts w:ascii="Times New Roman" w:hAnsi="Times New Roman" w:cs="Times New Roman"/>
          <w:b/>
          <w:bCs/>
          <w:sz w:val="24"/>
          <w:szCs w:val="24"/>
        </w:rPr>
        <w:t>10</w:t>
      </w:r>
      <w:r>
        <w:rPr>
          <w:rFonts w:ascii="Times New Roman" w:hAnsi="Times New Roman" w:cs="Times New Roman"/>
          <w:sz w:val="24"/>
          <w:szCs w:val="24"/>
        </w:rPr>
        <w:t>χρονη απουσία από τα προεδρεία  πρωτοβάθμιων Ενώσεων, οι εργαζόμενοι δεν κέρδισαν απολύτως τίποτα!</w:t>
      </w:r>
    </w:p>
    <w:p>
      <w:pPr>
        <w:spacing w:after="480" w:line="257" w:lineRule="auto"/>
        <w:ind w:firstLine="340"/>
        <w:jc w:val="both"/>
        <w:rPr>
          <w:rFonts w:ascii="Times New Roman" w:hAnsi="Times New Roman" w:cs="Times New Roman"/>
          <w:sz w:val="24"/>
          <w:szCs w:val="24"/>
        </w:rPr>
      </w:pPr>
      <w:r>
        <w:rPr>
          <w:rFonts w:ascii="Times New Roman" w:hAnsi="Times New Roman" w:cs="Times New Roman"/>
          <w:sz w:val="24"/>
          <w:szCs w:val="24"/>
        </w:rPr>
        <w:t>Αντιθέτως από την απουσία της, δόθηκε ο απαραίτητος «χώρος» στις κυβερνήσεις με την βοήθεια των δυνάμεων του κυβερνητικού συνδικαλισμού να προωθήσουν μέσα σ’ αυτήν την 10ετία με ταχύτατους ρυθμούς τις αντιδραστικές αλλαγές τόσο στις εργασιακές μας σχέσεις, όσο και την στρατηγική αποσάθρωσης της πολιτικής προστασίας της χώρας προς όφελος των μεγάλων επιχειρηματικών συμφερόντων και σε βάρος του ελληνικού λαού και του φυσικού πλούτου της χώρας!</w:t>
      </w:r>
    </w:p>
    <w:p>
      <w:pPr>
        <w:spacing w:after="0" w:line="240" w:lineRule="auto"/>
        <w:jc w:val="center"/>
        <w:rPr>
          <w:rFonts w:ascii="Times New Roman" w:hAnsi="Times New Roman" w:cs="Times New Roman"/>
          <w:b/>
          <w:sz w:val="24"/>
          <w:szCs w:val="24"/>
        </w:rPr>
      </w:pPr>
      <w:r>
        <w:rPr>
          <w:rFonts w:ascii="Times New Roman" w:hAnsi="Times New Roman" w:cs="Times New Roman"/>
          <w:b/>
          <w:spacing w:val="20"/>
          <w:sz w:val="32"/>
          <w:szCs w:val="32"/>
        </w:rPr>
        <w:t>ΕΝΩΤΙΚΗ ΑΓΩΝΙΣΤΙΚΗ ΚΙΝΗΣΗ ΠΥΡΟΣΒΕΣΤΩΝ</w:t>
      </w:r>
    </w:p>
    <w:sectPr>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等线 Light">
    <w:panose1 w:val="00000000000000000000"/>
    <w:charset w:val="80"/>
    <w:family w:val="roman"/>
    <w:notTrueType/>
    <w:pitch w:val="default"/>
  </w:font>
  <w:font w:name="Calibri Light">
    <w:panose1 w:val="020F0302020204030204"/>
    <w:charset w:val="A1"/>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r>
      <w:rPr>
        <w:noProof/>
        <w:lang w:eastAsia="el-G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a3"/>
                          </w:pPr>
                          <w:r>
                            <w:fldChar w:fldCharType="begin"/>
                          </w:r>
                          <w:r>
                            <w:instrText xml:space="preserve"> PAGE  \* MERGEFORMAT </w:instrText>
                          </w:r>
                          <w:r>
                            <w:fldChar w:fldCharType="separate"/>
                          </w:r>
                          <w:r>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" filled="f" stroked="f" strokeweight=".5pt">
              <v:textbox style="mso-fit-shape-to-text:t" inset="0,0,0,0">
                <w:txbxContent>
                  <w:p>
                    <w:pPr>
                      <w:pStyle w:val="a3"/>
                    </w:pPr>
                    <w:r>
                      <w:fldChar w:fldCharType="begin"/>
                    </w:r>
                    <w:r>
                      <w:instrText xml:space="preserve"> PAGE  \* MERGEFORMAT </w:instrText>
                    </w:r>
                    <w:r>
                      <w:fldChar w:fldCharType="separate"/>
                    </w:r>
                    <w:r>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B0C9BA-AFDC-4A05-9AC5-04137484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pPr>
      <w:tabs>
        <w:tab w:val="center" w:pos="4153"/>
        <w:tab w:val="right" w:pos="8306"/>
      </w:tabs>
      <w:snapToGrid w:val="0"/>
    </w:pPr>
    <w:rPr>
      <w:sz w:val="18"/>
      <w:szCs w:val="18"/>
    </w:rPr>
  </w:style>
  <w:style w:type="paragraph" w:styleId="a4">
    <w:name w:val="header"/>
    <w:basedOn w:val="a"/>
    <w:uiPriority w:val="99"/>
    <w:semiHidden/>
    <w:unhideWhenUsed/>
    <w:qFormat/>
    <w:pPr>
      <w:tabs>
        <w:tab w:val="center" w:pos="4153"/>
        <w:tab w:val="right" w:pos="8306"/>
      </w:tabs>
      <w:snapToGrid w:val="0"/>
    </w:pPr>
    <w:rPr>
      <w:sz w:val="18"/>
      <w:szCs w:val="18"/>
    </w:rPr>
  </w:style>
  <w:style w:type="character" w:styleId="-">
    <w:name w:val="Hyperlink"/>
    <w:basedOn w:val="a0"/>
    <w:uiPriority w:val="99"/>
    <w:semiHidden/>
    <w:unhideWhenUsed/>
    <w:qFormat/>
    <w:rPr>
      <w:color w:val="0000FF"/>
      <w:u w:val="single"/>
    </w:rPr>
  </w:style>
  <w:style w:type="table" w:styleId="a5">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pPr>
      <w:ind w:left="720"/>
      <w:contextualSpacing/>
    </w:pPr>
  </w:style>
  <w:style w:type="paragraph" w:customStyle="1" w:styleId="western">
    <w:name w:val="western"/>
    <w:basedOn w:val="a"/>
    <w:qFormat/>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akp.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BCF8E1-A3D6-43D5-9E7B-246B3A75F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1442</Words>
  <Characters>7792</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20</cp:revision>
  <dcterms:created xsi:type="dcterms:W3CDTF">2025-01-16T18:00:00Z</dcterms:created>
  <dcterms:modified xsi:type="dcterms:W3CDTF">2025-01-21T07:06:00Z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B3EF99F61A524295ACD02B1FA7612217_13</vt:lpwstr>
  </property>
</Properties>
</file>